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5923" w14:textId="73A74748" w:rsidR="00737A99" w:rsidRPr="00CB2915" w:rsidRDefault="00EE20A8" w:rsidP="00CF5685">
      <w:pPr>
        <w:spacing w:after="3960"/>
        <w:jc w:val="right"/>
      </w:pPr>
      <w:r w:rsidRPr="00CB2915">
        <w:rPr>
          <w:noProof/>
        </w:rPr>
        <w:drawing>
          <wp:inline distT="0" distB="0" distL="0" distR="0" wp14:anchorId="6FF23EAA" wp14:editId="3B5AFEB0">
            <wp:extent cx="1800225" cy="561975"/>
            <wp:effectExtent l="0" t="0" r="0" b="0"/>
            <wp:docPr id="1" name="Picture 60"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lbourne Water."/>
                    <pic:cNvPicPr>
                      <a:picLocks noChangeAspect="1" noChangeArrowheads="1"/>
                    </pic:cNvPicPr>
                  </pic:nvPicPr>
                  <pic:blipFill>
                    <a:blip r:embed="rId11">
                      <a:extLst>
                        <a:ext uri="{28A0092B-C50C-407E-A947-70E740481C1C}">
                          <a14:useLocalDpi xmlns:a14="http://schemas.microsoft.com/office/drawing/2010/main" val="0"/>
                        </a:ext>
                      </a:extLst>
                    </a:blip>
                    <a:srcRect r="31206"/>
                    <a:stretch>
                      <a:fillRect/>
                    </a:stretch>
                  </pic:blipFill>
                  <pic:spPr bwMode="auto">
                    <a:xfrm>
                      <a:off x="0" y="0"/>
                      <a:ext cx="1800225" cy="561975"/>
                    </a:xfrm>
                    <a:prstGeom prst="rect">
                      <a:avLst/>
                    </a:prstGeom>
                    <a:noFill/>
                    <a:ln>
                      <a:noFill/>
                    </a:ln>
                  </pic:spPr>
                </pic:pic>
              </a:graphicData>
            </a:graphic>
          </wp:inline>
        </w:drawing>
      </w:r>
      <w:r w:rsidRPr="00CB2915">
        <w:rPr>
          <w:noProof/>
        </w:rPr>
        <w:drawing>
          <wp:inline distT="0" distB="0" distL="0" distR="0" wp14:anchorId="2CE97464" wp14:editId="1322DAA0">
            <wp:extent cx="981075" cy="571500"/>
            <wp:effectExtent l="0" t="0" r="0" b="0"/>
            <wp:docPr id="2"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ctoria State Government."/>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pic:spPr>
                </pic:pic>
              </a:graphicData>
            </a:graphic>
          </wp:inline>
        </w:drawing>
      </w:r>
    </w:p>
    <w:sdt>
      <w:sdtPr>
        <w:alias w:val="Title"/>
        <w:tag w:val=""/>
        <w:id w:val="2035768845"/>
        <w:placeholder>
          <w:docPart w:val="CF07AAA292AE4FE0834B504C43C67F97"/>
        </w:placeholder>
        <w:dataBinding w:prefixMappings="xmlns:ns0='http://purl.org/dc/elements/1.1/' xmlns:ns1='http://schemas.openxmlformats.org/package/2006/metadata/core-properties' " w:xpath="/ns1:coreProperties[1]/ns0:title[1]" w:storeItemID="{6C3C8BC8-F283-45AE-878A-BAB7291924A1}"/>
        <w:text/>
      </w:sdtPr>
      <w:sdtEndPr/>
      <w:sdtContent>
        <w:p w14:paraId="70355978" w14:textId="31B5550C" w:rsidR="00AB71C8" w:rsidRPr="00AB71C8" w:rsidRDefault="00143D6B" w:rsidP="00143D6B">
          <w:pPr>
            <w:pStyle w:val="Title"/>
            <w:ind w:right="4535"/>
          </w:pPr>
          <w:r>
            <w:t>Melbourne Water Corporate Plan</w:t>
          </w:r>
        </w:p>
      </w:sdtContent>
    </w:sdt>
    <w:p w14:paraId="694CFE0E" w14:textId="5C32CE94" w:rsidR="006D1601" w:rsidRDefault="00143D6B" w:rsidP="00400086">
      <w:pPr>
        <w:pStyle w:val="Subtitle"/>
      </w:pPr>
      <w:r>
        <w:t>2023-24 to 2027-28</w:t>
      </w:r>
    </w:p>
    <w:p w14:paraId="33C2EB16" w14:textId="77777777" w:rsidR="006D1601" w:rsidRPr="006D1601" w:rsidRDefault="006D1601" w:rsidP="006D1601">
      <w:pPr>
        <w:sectPr w:rsidR="006D1601" w:rsidRPr="006D1601" w:rsidSect="00E560E2">
          <w:footerReference w:type="default" r:id="rId13"/>
          <w:endnotePr>
            <w:numFmt w:val="decimal"/>
          </w:endnotePr>
          <w:pgSz w:w="11900" w:h="16840"/>
          <w:pgMar w:top="1134" w:right="851" w:bottom="1134" w:left="1418" w:header="709" w:footer="709" w:gutter="0"/>
          <w:cols w:space="708"/>
          <w:docGrid w:linePitch="360"/>
        </w:sectPr>
      </w:pPr>
    </w:p>
    <w:p w14:paraId="65C5F563" w14:textId="1A9D4A04" w:rsidR="007F4791" w:rsidRPr="00A25F2C" w:rsidRDefault="007F4791" w:rsidP="005A7987">
      <w:r w:rsidRPr="00A25F2C">
        <w:lastRenderedPageBreak/>
        <w:t>ISSN: 2652-2985 (Print)</w:t>
      </w:r>
    </w:p>
    <w:p w14:paraId="7663C8EE" w14:textId="77777777" w:rsidR="007F4791" w:rsidRPr="00A25F2C" w:rsidRDefault="007F4791" w:rsidP="005A7987">
      <w:r w:rsidRPr="00A25F2C">
        <w:t>ISSN: 2652-2799 (Online)</w:t>
      </w:r>
    </w:p>
    <w:p w14:paraId="6D2036DD" w14:textId="77777777" w:rsidR="007F4791" w:rsidRPr="00A25F2C" w:rsidRDefault="007F4791" w:rsidP="007F4791">
      <w:pPr>
        <w:pStyle w:val="BodyText"/>
      </w:pPr>
      <w:r w:rsidRPr="00A25F2C">
        <w:t xml:space="preserve">© Copyright April 2023 Melbourne Water Corporation. All rights reserved. No part of the document may be reproduced, stored in a retrieval system, </w:t>
      </w:r>
      <w:proofErr w:type="gramStart"/>
      <w:r w:rsidRPr="00A25F2C">
        <w:t>photocopied</w:t>
      </w:r>
      <w:proofErr w:type="gramEnd"/>
      <w:r w:rsidRPr="00A25F2C">
        <w:t xml:space="preserve"> or otherwise dealt with without prior written permission of Melbourne Water Corporation.</w:t>
      </w:r>
    </w:p>
    <w:p w14:paraId="07E5A56A" w14:textId="77777777" w:rsidR="007F4791" w:rsidRPr="00A25F2C" w:rsidRDefault="007F4791" w:rsidP="007F4791">
      <w:pPr>
        <w:pStyle w:val="BodyText"/>
      </w:pPr>
      <w:r w:rsidRPr="00A25F2C">
        <w:t>Disclaimer: This publication may be of assistance to you but Melbourne Water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0A95EF9F" w14:textId="77777777" w:rsidR="00143D6B" w:rsidRDefault="007F4791" w:rsidP="007F4791">
      <w:pPr>
        <w:pStyle w:val="BodyText"/>
      </w:pPr>
      <w:r w:rsidRPr="00A25F2C">
        <w:t>All actions in this plan will be delivered subject to funding.</w:t>
      </w:r>
    </w:p>
    <w:p w14:paraId="26687D7B" w14:textId="6637ED42" w:rsidR="007F4791" w:rsidRPr="00A25F2C" w:rsidRDefault="007F4791" w:rsidP="007F4791">
      <w:pPr>
        <w:pStyle w:val="Heading1"/>
      </w:pPr>
      <w:bookmarkStart w:id="0" w:name="_Toc147756848"/>
      <w:r w:rsidRPr="00A25F2C">
        <w:lastRenderedPageBreak/>
        <w:t>Foreword</w:t>
      </w:r>
      <w:bookmarkEnd w:id="0"/>
    </w:p>
    <w:p w14:paraId="11A2AE4E" w14:textId="77777777" w:rsidR="007F4791" w:rsidRPr="00A25F2C" w:rsidRDefault="007F4791" w:rsidP="007F4791">
      <w:pPr>
        <w:pStyle w:val="BodyText"/>
      </w:pPr>
      <w:r w:rsidRPr="00A25F2C">
        <w:t>At Melbourne Water, we understand the importance of water in our daily lives. It is not just a resource but essential to our way of life. For the water sector, this is the decade that matters; a pivotal moment to secure a resilient future for Melbourne and a critical opportunity to take action to ensure our services remain strong for future generations. This opportunity arises in the face of challenges brought on by climate change, population growth, rising living costs and evolving social expectations.</w:t>
      </w:r>
    </w:p>
    <w:p w14:paraId="56C813C9" w14:textId="08495F8C" w:rsidR="007F4791" w:rsidRPr="00A25F2C" w:rsidRDefault="007F4791" w:rsidP="007F4791">
      <w:pPr>
        <w:pStyle w:val="BodyText"/>
      </w:pPr>
      <w:r w:rsidRPr="00A25F2C">
        <w:t xml:space="preserve">Our </w:t>
      </w:r>
      <w:r w:rsidRPr="00A25F2C">
        <w:rPr>
          <w:i/>
        </w:rPr>
        <w:t xml:space="preserve">Corporate Plan </w:t>
      </w:r>
      <w:r w:rsidRPr="00A25F2C">
        <w:t xml:space="preserve">reflects an important shift in our organisational direction, emphasising our adaptability and agility as we tackle these challenges. This year, nine new strategic goals will provide a long-term focus to meet the </w:t>
      </w:r>
      <w:r w:rsidRPr="005A7987">
        <w:t>needs of our customers and the community. These goals set our ambition to deliver strong customer and community</w:t>
      </w:r>
      <w:r w:rsidR="005A7987" w:rsidRPr="005A7987">
        <w:t xml:space="preserve"> </w:t>
      </w:r>
      <w:r w:rsidRPr="005A7987">
        <w:t>outcomes for our region’s water security, climate change and environmental health.</w:t>
      </w:r>
    </w:p>
    <w:p w14:paraId="54ABEA7F" w14:textId="77777777" w:rsidR="007F4791" w:rsidRPr="00A25F2C" w:rsidRDefault="007F4791" w:rsidP="007F4791">
      <w:pPr>
        <w:pStyle w:val="BodyText"/>
      </w:pPr>
      <w:r w:rsidRPr="00A25F2C">
        <w:t>Delivering these outcomes is enabled by our approach to financial sustainability, which is embedded in our strategic objectives. We are committed to delivering valued services at the lowest cost to customers, meeting our financial obligations both now and in the future, and contributing to the broader Victorian economy.</w:t>
      </w:r>
    </w:p>
    <w:p w14:paraId="624FFA3A" w14:textId="77777777" w:rsidR="007F4791" w:rsidRPr="00A25F2C" w:rsidRDefault="007F4791" w:rsidP="007F4791">
      <w:pPr>
        <w:pStyle w:val="BodyText"/>
      </w:pPr>
      <w:r w:rsidRPr="00A25F2C">
        <w:t xml:space="preserve">Our commitment to customer-centric outcomes, respect and transparency remains unwavering. This year we will continue to engage with our diverse customer groups to maintain an ongoing conversation about priorities, </w:t>
      </w:r>
      <w:proofErr w:type="gramStart"/>
      <w:r w:rsidRPr="00A25F2C">
        <w:t>performance</w:t>
      </w:r>
      <w:proofErr w:type="gramEnd"/>
      <w:r w:rsidRPr="00A25F2C">
        <w:t xml:space="preserve"> and key considerations for our next price submission.</w:t>
      </w:r>
    </w:p>
    <w:p w14:paraId="313F7915" w14:textId="77777777" w:rsidR="007F4791" w:rsidRPr="00A25F2C" w:rsidRDefault="007F4791" w:rsidP="007F4791">
      <w:pPr>
        <w:pStyle w:val="BodyText"/>
      </w:pPr>
      <w:r w:rsidRPr="00A25F2C">
        <w:t xml:space="preserve">Delivering safe, </w:t>
      </w:r>
      <w:proofErr w:type="gramStart"/>
      <w:r w:rsidRPr="00A25F2C">
        <w:t>reliable</w:t>
      </w:r>
      <w:proofErr w:type="gramEnd"/>
      <w:r w:rsidRPr="00A25F2C">
        <w:t xml:space="preserve"> and high-quality services, including water, sewerage, drainage, and healthy waterways and catchments, continues to be our core priority. We adapt and respond to changes in our operating environment so we can address challenges and seize significant opportunities for Melbourne’s water future.</w:t>
      </w:r>
    </w:p>
    <w:p w14:paraId="1E6F0BB5" w14:textId="6A2ED01B" w:rsidR="007F4791" w:rsidRPr="00A25F2C" w:rsidRDefault="007F4791" w:rsidP="007F4791">
      <w:pPr>
        <w:pStyle w:val="BodyText"/>
      </w:pPr>
      <w:r w:rsidRPr="00A25F2C">
        <w:t xml:space="preserve">In line with the Victorian Government’s </w:t>
      </w:r>
      <w:r w:rsidRPr="00A25F2C">
        <w:rPr>
          <w:i/>
        </w:rPr>
        <w:t xml:space="preserve">Water for Victoria </w:t>
      </w:r>
      <w:r w:rsidRPr="00A25F2C">
        <w:t xml:space="preserve">policy, we work closely with the government and our </w:t>
      </w:r>
      <w:r w:rsidRPr="005A7987">
        <w:t xml:space="preserve">partners to implement key strategies, such as the </w:t>
      </w:r>
      <w:r w:rsidRPr="005A7987">
        <w:rPr>
          <w:i/>
        </w:rPr>
        <w:t>Greater Melbourne Urban Water and System Strategy: Water for Life</w:t>
      </w:r>
      <w:r w:rsidRPr="005A7987">
        <w:t>, which marks</w:t>
      </w:r>
      <w:r w:rsidR="005A7987" w:rsidRPr="005A7987">
        <w:t xml:space="preserve"> </w:t>
      </w:r>
      <w:r w:rsidRPr="005A7987">
        <w:t>a significant collaborative step forward and provides a clear avenue for the sector to work together.</w:t>
      </w:r>
    </w:p>
    <w:p w14:paraId="2520E078" w14:textId="77777777" w:rsidR="007F4791" w:rsidRPr="00A25F2C" w:rsidRDefault="007F4791" w:rsidP="007F4791">
      <w:pPr>
        <w:pStyle w:val="BodyText"/>
      </w:pPr>
      <w:r w:rsidRPr="00A25F2C">
        <w:t xml:space="preserve">Our recent collaboration with </w:t>
      </w:r>
      <w:proofErr w:type="gramStart"/>
      <w:r w:rsidRPr="00A25F2C">
        <w:t>South East</w:t>
      </w:r>
      <w:proofErr w:type="gramEnd"/>
      <w:r w:rsidRPr="00A25F2C">
        <w:t xml:space="preserve"> Water, Yarra Valley Water, Greater Western Water and Barwon Water resulted in ‘The Accord’ which articulates a shared vision for the sector and agreed principles as to how we can work together to support cost-effective, equitable outcomes for the future. The Accord represents a shared commitment to act in the best overall interests of our communities.</w:t>
      </w:r>
    </w:p>
    <w:p w14:paraId="3153F55B" w14:textId="0F38E0AC" w:rsidR="007F4791" w:rsidRPr="00A25F2C" w:rsidRDefault="007F4791" w:rsidP="007F4791">
      <w:pPr>
        <w:pStyle w:val="BodyText"/>
      </w:pPr>
      <w:r w:rsidRPr="00A25F2C">
        <w:t xml:space="preserve">As a floodplain manager, we understand the impact of floods on our communities, particularly </w:t>
      </w:r>
      <w:proofErr w:type="gramStart"/>
      <w:r w:rsidRPr="00A25F2C">
        <w:t>in light of</w:t>
      </w:r>
      <w:proofErr w:type="gramEnd"/>
      <w:r w:rsidRPr="00A25F2C">
        <w:t xml:space="preserve"> the Maribyrnong River flood event in October 2022, which highlighted the damage</w:t>
      </w:r>
      <w:r w:rsidR="00143D6B">
        <w:t xml:space="preserve"> </w:t>
      </w:r>
      <w:r w:rsidRPr="00A25F2C">
        <w:t xml:space="preserve">and disruption urban flooding can cause. We are committed to listening to community views and </w:t>
      </w:r>
      <w:proofErr w:type="gramStart"/>
      <w:r w:rsidRPr="00A25F2C">
        <w:t>needs, and</w:t>
      </w:r>
      <w:proofErr w:type="gramEnd"/>
      <w:r w:rsidRPr="00A25F2C">
        <w:t xml:space="preserve"> welcome the independent review and the Parliamentary Inquiry. We look forward to the learnings and improvements that may come</w:t>
      </w:r>
      <w:r w:rsidR="00143D6B">
        <w:t xml:space="preserve"> </w:t>
      </w:r>
      <w:r w:rsidRPr="00A25F2C">
        <w:t>from this process.</w:t>
      </w:r>
    </w:p>
    <w:p w14:paraId="6067FBBD" w14:textId="4428D101" w:rsidR="007F4791" w:rsidRPr="00A25F2C" w:rsidRDefault="007F4791" w:rsidP="007F4791">
      <w:pPr>
        <w:pStyle w:val="BodyText"/>
      </w:pPr>
      <w:r w:rsidRPr="00A25F2C">
        <w:t>As we face climate change and urbanisation challenges, which will increase the frequency and severity of urban flooding,</w:t>
      </w:r>
      <w:r w:rsidR="005A7987">
        <w:t xml:space="preserve"> </w:t>
      </w:r>
      <w:r w:rsidRPr="00A25F2C">
        <w:t xml:space="preserve">we recognise the opportunity to re-set how we manage it, mirroring the approach taken with other natural disasters such as bushfires. Melbourne Water will continue to work with the Victorian Government, local councils, </w:t>
      </w:r>
      <w:proofErr w:type="gramStart"/>
      <w:r w:rsidRPr="00A25F2C">
        <w:t>communities</w:t>
      </w:r>
      <w:proofErr w:type="gramEnd"/>
      <w:r w:rsidRPr="00A25F2C">
        <w:t xml:space="preserve"> and emergency services to prepare our region for future flooding.</w:t>
      </w:r>
    </w:p>
    <w:p w14:paraId="5347AFE0" w14:textId="4BF903D0" w:rsidR="007F4791" w:rsidRPr="00A25F2C" w:rsidRDefault="007F4791" w:rsidP="007F4791">
      <w:pPr>
        <w:pStyle w:val="BodyText"/>
      </w:pPr>
      <w:r w:rsidRPr="00A25F2C">
        <w:t xml:space="preserve">Unlocking value through integrated services is key to our success, including delivering Integrated Water Management (IWM) projects and supporting growth, as demonstrated by our work on </w:t>
      </w:r>
      <w:r w:rsidRPr="00A25F2C">
        <w:rPr>
          <w:i/>
        </w:rPr>
        <w:t xml:space="preserve">Sunbury’s Water Future </w:t>
      </w:r>
      <w:r w:rsidRPr="00A25F2C">
        <w:t xml:space="preserve">and implementing actions from the regional </w:t>
      </w:r>
      <w:r w:rsidR="00E23BDC">
        <w:t>Integrated Water Management</w:t>
      </w:r>
      <w:r w:rsidRPr="00A25F2C">
        <w:t xml:space="preserve"> Forums. In the 18</w:t>
      </w:r>
      <w:r w:rsidR="00995D31">
        <w:t> </w:t>
      </w:r>
      <w:r w:rsidRPr="00A25F2C">
        <w:t>months since Melbourne Water became a Catchment Management Authority, we</w:t>
      </w:r>
      <w:r w:rsidR="005A7987">
        <w:t xml:space="preserve"> </w:t>
      </w:r>
      <w:r w:rsidRPr="00A25F2C">
        <w:t>have embraced the opportunity to work with a broader range of customers and stakeholders, exploring approaches for integrated catchment management to unlock benefits across all our services.</w:t>
      </w:r>
    </w:p>
    <w:p w14:paraId="3F43D62C" w14:textId="7E0EFBE4" w:rsidR="007F4791" w:rsidRPr="00A25F2C" w:rsidRDefault="007F4791" w:rsidP="007F4791">
      <w:pPr>
        <w:pStyle w:val="BodyText"/>
      </w:pPr>
      <w:r w:rsidRPr="00A25F2C">
        <w:lastRenderedPageBreak/>
        <w:t>We walk Country together with Traditional Owners to guide all our practices. We keep working towards our vision for reconciliation and for Traditional Owners of the region to be respected as sovereign land and water management</w:t>
      </w:r>
      <w:r w:rsidR="005A7987">
        <w:t xml:space="preserve"> </w:t>
      </w:r>
      <w:r w:rsidRPr="00A25F2C">
        <w:t>partners. We recognise the importance of Traditional Owner partnerships, and support self-determination and reconciliation. As a result, we are proud of our formal Partnership Agreement with the Gunnaikurnai Land and Waters Aboriginal Corporation, the first such agreement for Melbourne Water and Victoria.</w:t>
      </w:r>
    </w:p>
    <w:p w14:paraId="3BEAF840" w14:textId="2DD2859F" w:rsidR="007F4791" w:rsidRPr="00A25F2C" w:rsidRDefault="007F4791" w:rsidP="007F4791">
      <w:pPr>
        <w:pStyle w:val="BodyText"/>
      </w:pPr>
      <w:r w:rsidRPr="00A25F2C">
        <w:t>Managing climate change impacts remains critical, so we are excited to progress our first international partnership with Danish company Aarhus Vand and the UK’s Severn Trent. This partnership will facilitate the co-creation of technologies</w:t>
      </w:r>
      <w:r w:rsidR="005A7987">
        <w:t xml:space="preserve"> </w:t>
      </w:r>
      <w:r w:rsidRPr="00A25F2C">
        <w:t xml:space="preserve">and innovations required to address the climate impact of our wastewater treatment operations, </w:t>
      </w:r>
      <w:proofErr w:type="gramStart"/>
      <w:r w:rsidRPr="00A25F2C">
        <w:t>an</w:t>
      </w:r>
      <w:proofErr w:type="gramEnd"/>
      <w:r w:rsidRPr="00A25F2C">
        <w:t xml:space="preserve"> critical part of our aspiration to decarbonise our operations.</w:t>
      </w:r>
    </w:p>
    <w:p w14:paraId="4042844B" w14:textId="77777777" w:rsidR="007F4791" w:rsidRPr="00A25F2C" w:rsidRDefault="007F4791" w:rsidP="007F4791">
      <w:pPr>
        <w:pStyle w:val="BodyText"/>
      </w:pPr>
      <w:r w:rsidRPr="00A25F2C">
        <w:t xml:space="preserve">Melbourne’s rivers, creeks and iconic bays are essential to our way of life and provide places for our native wildlife to thrive. We are committed to investing in the connection between communities and waterways, </w:t>
      </w:r>
      <w:proofErr w:type="gramStart"/>
      <w:r w:rsidRPr="00A25F2C">
        <w:t>land</w:t>
      </w:r>
      <w:proofErr w:type="gramEnd"/>
      <w:r w:rsidRPr="00A25F2C">
        <w:t xml:space="preserve"> and nature. We will continue to step into our role as a catchment management authority to find ways that unlock benefits from a more integrated, end-to- end approach.</w:t>
      </w:r>
    </w:p>
    <w:p w14:paraId="3D6845DB" w14:textId="5E91805E" w:rsidR="00143D6B" w:rsidRDefault="007F4791" w:rsidP="007F4791">
      <w:pPr>
        <w:pStyle w:val="BodyText"/>
      </w:pPr>
      <w:r w:rsidRPr="00A25F2C">
        <w:t>Our dedicated team is central to achieving our goals. We continue to focus on safety, resilience and streamlined ways of working. Our Building a Better Melbourne Water program has a renewed focus on workplace resilience, end-to-end streamlined delivery services and making customer interactions easier.</w:t>
      </w:r>
      <w:r w:rsidR="005A7987">
        <w:t xml:space="preserve"> </w:t>
      </w:r>
      <w:r w:rsidRPr="00A25F2C">
        <w:t xml:space="preserve">It is also part of building a collaborative sector that designs solutions for the decade that matters, ensuring Melbourne’s health liveability and prosperity for today, </w:t>
      </w:r>
      <w:proofErr w:type="gramStart"/>
      <w:r w:rsidRPr="00A25F2C">
        <w:t>tomorrow</w:t>
      </w:r>
      <w:proofErr w:type="gramEnd"/>
      <w:r w:rsidRPr="00A25F2C">
        <w:t xml:space="preserve"> and future generations.</w:t>
      </w:r>
    </w:p>
    <w:p w14:paraId="4587DD26" w14:textId="77777777" w:rsidR="00143D6B" w:rsidRDefault="00143D6B" w:rsidP="007F4791">
      <w:pPr>
        <w:pStyle w:val="Heading7"/>
        <w:sectPr w:rsidR="00143D6B" w:rsidSect="00E560E2">
          <w:endnotePr>
            <w:numFmt w:val="decimal"/>
          </w:endnotePr>
          <w:pgSz w:w="11900" w:h="16840"/>
          <w:pgMar w:top="1134" w:right="851" w:bottom="1134" w:left="1418" w:header="709" w:footer="709" w:gutter="0"/>
          <w:cols w:space="708"/>
          <w:docGrid w:linePitch="360"/>
        </w:sectPr>
      </w:pPr>
    </w:p>
    <w:p w14:paraId="22B3094A" w14:textId="631BD286" w:rsidR="007F4791" w:rsidRPr="00A25F2C" w:rsidRDefault="007F4791" w:rsidP="00143D6B">
      <w:pPr>
        <w:pStyle w:val="NoSpacing"/>
      </w:pPr>
      <w:r w:rsidRPr="00A25F2C">
        <w:t>John Thwaites</w:t>
      </w:r>
    </w:p>
    <w:p w14:paraId="4978119B" w14:textId="77777777" w:rsidR="007F4791" w:rsidRPr="00A25F2C" w:rsidRDefault="007F4791" w:rsidP="00143D6B">
      <w:pPr>
        <w:pStyle w:val="NoSpacing"/>
      </w:pPr>
      <w:r w:rsidRPr="00A25F2C">
        <w:t>Chairman</w:t>
      </w:r>
    </w:p>
    <w:p w14:paraId="1E484A37" w14:textId="7C8EE6BE" w:rsidR="007F4791" w:rsidRPr="00A25F2C" w:rsidRDefault="006D1601" w:rsidP="00143D6B">
      <w:pPr>
        <w:pStyle w:val="NoSpacing"/>
      </w:pPr>
      <w:r>
        <w:br w:type="column"/>
      </w:r>
      <w:r w:rsidR="007F4791" w:rsidRPr="00A25F2C">
        <w:t>Nerina Di Lorenzo</w:t>
      </w:r>
    </w:p>
    <w:p w14:paraId="75D92EFC" w14:textId="77777777" w:rsidR="00143D6B" w:rsidRDefault="007F4791" w:rsidP="00143D6B">
      <w:pPr>
        <w:pStyle w:val="NoSpacing"/>
      </w:pPr>
      <w:r w:rsidRPr="00A25F2C">
        <w:t>Managing Director</w:t>
      </w:r>
    </w:p>
    <w:p w14:paraId="083BD4DF" w14:textId="77777777" w:rsidR="00143D6B" w:rsidRDefault="00143D6B" w:rsidP="00143D6B">
      <w:pPr>
        <w:pStyle w:val="NoSpacing"/>
        <w:sectPr w:rsidR="00143D6B" w:rsidSect="006D1601">
          <w:endnotePr>
            <w:numFmt w:val="decimal"/>
          </w:endnotePr>
          <w:type w:val="continuous"/>
          <w:pgSz w:w="11900" w:h="16840"/>
          <w:pgMar w:top="1134" w:right="851" w:bottom="1134" w:left="1418" w:header="709" w:footer="709" w:gutter="0"/>
          <w:cols w:num="2" w:space="1134" w:equalWidth="0">
            <w:col w:w="3402" w:space="1134"/>
            <w:col w:w="5095"/>
          </w:cols>
          <w:docGrid w:linePitch="360"/>
        </w:sectPr>
      </w:pPr>
    </w:p>
    <w:p w14:paraId="33F0F60E" w14:textId="6E094CEE" w:rsidR="007F4791" w:rsidRPr="00A25F2C" w:rsidRDefault="007F4791" w:rsidP="006676B3">
      <w:pPr>
        <w:pStyle w:val="Heading1"/>
        <w:spacing w:before="0"/>
      </w:pPr>
      <w:bookmarkStart w:id="1" w:name="_Toc147756849"/>
      <w:r w:rsidRPr="00A25F2C">
        <w:lastRenderedPageBreak/>
        <w:t>Aboriginal acknowledgement</w:t>
      </w:r>
      <w:bookmarkEnd w:id="1"/>
    </w:p>
    <w:p w14:paraId="3E1C43F6" w14:textId="77777777" w:rsidR="007F4791" w:rsidRPr="00A25F2C" w:rsidRDefault="007F4791" w:rsidP="007F4791">
      <w:pPr>
        <w:pStyle w:val="BodyText"/>
      </w:pPr>
      <w:r w:rsidRPr="00A25F2C">
        <w:t>Melbourne Water respectfully acknowledges Aboriginal and Torres Strait Islander peoples as the Traditional Owners and custodians of the land and water on which all Australians rely.</w:t>
      </w:r>
    </w:p>
    <w:p w14:paraId="5D681C24" w14:textId="77777777" w:rsidR="007F4791" w:rsidRPr="00A25F2C" w:rsidRDefault="007F4791" w:rsidP="007F4791">
      <w:pPr>
        <w:pStyle w:val="BodyText"/>
      </w:pPr>
      <w:r w:rsidRPr="00A25F2C">
        <w:t>We pay our respects to Bunurong, Gunaikurnai, Taungurung, Wadawurrung and Wurundjeri Woi-wurrung peoples as the Traditional Owners and Custodians of the land and water on which we rely and operate. We pay our deepest respects to their Elders past, present and emerging.</w:t>
      </w:r>
    </w:p>
    <w:p w14:paraId="7E0C80DE" w14:textId="77777777" w:rsidR="007F4791" w:rsidRPr="00A25F2C" w:rsidRDefault="007F4791" w:rsidP="007F4791">
      <w:pPr>
        <w:pStyle w:val="BodyText"/>
      </w:pPr>
      <w:r w:rsidRPr="00A25F2C">
        <w:t>We recognise and respect the continued cultural and spiritual connections that Aboriginal and Torres Strait Islander peoples have with the land and water they have cared for and protected for thousands of generations.</w:t>
      </w:r>
    </w:p>
    <w:p w14:paraId="40B8C527" w14:textId="70EF2E89" w:rsidR="00143D6B" w:rsidRDefault="007F4791" w:rsidP="007F4791">
      <w:pPr>
        <w:pStyle w:val="BodyText"/>
      </w:pPr>
      <w:r w:rsidRPr="00A25F2C">
        <w:t>We demonstrate our ongoing commitment to reconciliation through our partnerships with Traditional Owners and the broader Aboriginal and Torres Strait Islander communities, as we work together to manage land and water now and into the future, while maintaining and respecting cultural and spiritual connections.</w:t>
      </w:r>
    </w:p>
    <w:p w14:paraId="22D92459" w14:textId="77777777" w:rsidR="00143D6B" w:rsidRDefault="00143D6B">
      <w:pPr>
        <w:spacing w:line="240" w:lineRule="auto"/>
        <w:rPr>
          <w:rFonts w:eastAsia="Cambria"/>
        </w:rPr>
      </w:pPr>
      <w:r>
        <w:br w:type="page"/>
      </w:r>
    </w:p>
    <w:p w14:paraId="0B70306E" w14:textId="5ADF6E2A" w:rsidR="007F4791" w:rsidRPr="00A25F2C" w:rsidRDefault="007F4791" w:rsidP="005A7987">
      <w:pPr>
        <w:pStyle w:val="Heading1"/>
      </w:pPr>
      <w:bookmarkStart w:id="2" w:name="_Toc147756850"/>
      <w:r w:rsidRPr="00A25F2C">
        <w:lastRenderedPageBreak/>
        <w:t>About this plan</w:t>
      </w:r>
      <w:bookmarkEnd w:id="2"/>
    </w:p>
    <w:p w14:paraId="69FE9578" w14:textId="77777777" w:rsidR="007F4791" w:rsidRPr="00A25F2C" w:rsidRDefault="007F4791" w:rsidP="007F4791">
      <w:pPr>
        <w:pStyle w:val="BodyText"/>
      </w:pPr>
      <w:r w:rsidRPr="00A25F2C">
        <w:t xml:space="preserve">Melbourne Water’s Corporate Plan provides a roadmap for achievement of our corporate strategy now and into the future. As required by section 247 of the </w:t>
      </w:r>
      <w:r w:rsidRPr="00A25F2C">
        <w:rPr>
          <w:i/>
        </w:rPr>
        <w:t>Water Act 1989</w:t>
      </w:r>
      <w:r w:rsidRPr="00A25F2C">
        <w:t>, our plan highlights our year ahead, while also detailing our long-term goals over the five-year life of the plan. Our Statement of Corporate Intent is expressed in the opening chapter, ‘Enhancing life and liveability’, and the document reflects the priority areas of the Minister’s Letter of Expectations:</w:t>
      </w:r>
    </w:p>
    <w:p w14:paraId="66B90E8F" w14:textId="77777777" w:rsidR="007F4791" w:rsidRPr="00A25F2C" w:rsidRDefault="007F4791" w:rsidP="007F4791">
      <w:pPr>
        <w:pStyle w:val="ListBullet"/>
      </w:pPr>
      <w:r w:rsidRPr="00A25F2C">
        <w:t>Climate change</w:t>
      </w:r>
    </w:p>
    <w:p w14:paraId="6470685A" w14:textId="77777777" w:rsidR="007F4791" w:rsidRPr="00A25F2C" w:rsidRDefault="007F4791" w:rsidP="00F13D2F">
      <w:pPr>
        <w:pStyle w:val="ListBullet"/>
        <w:numPr>
          <w:ilvl w:val="0"/>
          <w:numId w:val="20"/>
        </w:numPr>
      </w:pPr>
      <w:r w:rsidRPr="00A25F2C">
        <w:t>Customer and community outcomes</w:t>
      </w:r>
    </w:p>
    <w:p w14:paraId="47602DD2" w14:textId="77777777" w:rsidR="007F4791" w:rsidRPr="00A25F2C" w:rsidRDefault="007F4791" w:rsidP="007F4791">
      <w:pPr>
        <w:pStyle w:val="ListBullet"/>
      </w:pPr>
      <w:r w:rsidRPr="00A25F2C">
        <w:t>Community engagement and partnerships</w:t>
      </w:r>
    </w:p>
    <w:p w14:paraId="4FCAA50F" w14:textId="77777777" w:rsidR="007F4791" w:rsidRPr="00A25F2C" w:rsidRDefault="007F4791" w:rsidP="007F4791">
      <w:pPr>
        <w:pStyle w:val="ListBullet"/>
      </w:pPr>
      <w:r w:rsidRPr="00A25F2C">
        <w:t xml:space="preserve">Delivering and recognising water for Aboriginal cultural, </w:t>
      </w:r>
      <w:proofErr w:type="gramStart"/>
      <w:r w:rsidRPr="00A25F2C">
        <w:t>spiritual</w:t>
      </w:r>
      <w:proofErr w:type="gramEnd"/>
      <w:r w:rsidRPr="00A25F2C">
        <w:t xml:space="preserve"> and economic values</w:t>
      </w:r>
    </w:p>
    <w:p w14:paraId="2C2B0D23" w14:textId="77777777" w:rsidR="007F4791" w:rsidRPr="00A25F2C" w:rsidRDefault="007F4791" w:rsidP="007F4791">
      <w:pPr>
        <w:pStyle w:val="ListBullet"/>
      </w:pPr>
      <w:r w:rsidRPr="00A25F2C">
        <w:t>Recognising recreational values</w:t>
      </w:r>
    </w:p>
    <w:p w14:paraId="0AA3C5A5" w14:textId="77777777" w:rsidR="007F4791" w:rsidRPr="00A25F2C" w:rsidRDefault="007F4791" w:rsidP="007F4791">
      <w:pPr>
        <w:pStyle w:val="ListBullet"/>
      </w:pPr>
      <w:r w:rsidRPr="00A25F2C">
        <w:t>Resilient and liveable cities and towns</w:t>
      </w:r>
    </w:p>
    <w:p w14:paraId="47E1FAD2" w14:textId="77777777" w:rsidR="007F4791" w:rsidRPr="00A25F2C" w:rsidRDefault="007F4791" w:rsidP="007F4791">
      <w:pPr>
        <w:pStyle w:val="ListBullet"/>
      </w:pPr>
      <w:r w:rsidRPr="00A25F2C">
        <w:t>Leadership and culture</w:t>
      </w:r>
    </w:p>
    <w:p w14:paraId="436026C0" w14:textId="77777777" w:rsidR="007F4791" w:rsidRPr="00A25F2C" w:rsidRDefault="007F4791" w:rsidP="007F4791">
      <w:pPr>
        <w:pStyle w:val="ListBullet"/>
      </w:pPr>
      <w:r w:rsidRPr="00A25F2C">
        <w:t>Performance and financial sustainability</w:t>
      </w:r>
    </w:p>
    <w:p w14:paraId="5ABB7322" w14:textId="77777777" w:rsidR="007F4791" w:rsidRPr="00A25F2C" w:rsidRDefault="007F4791" w:rsidP="007F4791">
      <w:pPr>
        <w:pStyle w:val="ListBullet"/>
      </w:pPr>
      <w:r w:rsidRPr="00A25F2C">
        <w:t>Compliance and enforcement</w:t>
      </w:r>
    </w:p>
    <w:p w14:paraId="643CC1F5" w14:textId="77777777" w:rsidR="007F4791" w:rsidRPr="00A25F2C" w:rsidRDefault="007F4791" w:rsidP="007F4791">
      <w:pPr>
        <w:pStyle w:val="ListBullet"/>
      </w:pPr>
      <w:r w:rsidRPr="00A25F2C">
        <w:t>Waterway and catchment health</w:t>
      </w:r>
    </w:p>
    <w:p w14:paraId="09E9AF58" w14:textId="77777777" w:rsidR="007F4791" w:rsidRPr="00A25F2C" w:rsidRDefault="007F4791" w:rsidP="007F4791">
      <w:pPr>
        <w:pStyle w:val="ListBullet"/>
      </w:pPr>
      <w:r w:rsidRPr="00A25F2C">
        <w:t>Water for agriculture.</w:t>
      </w:r>
    </w:p>
    <w:p w14:paraId="457B08BC" w14:textId="452D5984" w:rsidR="00143D6B" w:rsidRDefault="007F4791" w:rsidP="007F4791">
      <w:pPr>
        <w:pStyle w:val="BodyText"/>
      </w:pPr>
      <w:r w:rsidRPr="00A25F2C">
        <w:t>After the integration of the Port Phillip Westernport Catchment Management Authority (</w:t>
      </w:r>
      <w:r w:rsidR="00E23BDC">
        <w:t>P</w:t>
      </w:r>
      <w:r w:rsidRPr="00A25F2C">
        <w:t xml:space="preserve">PWCMA) in 2022, our </w:t>
      </w:r>
      <w:r w:rsidRPr="00A25F2C">
        <w:rPr>
          <w:i/>
        </w:rPr>
        <w:t xml:space="preserve">Corporate Plan </w:t>
      </w:r>
      <w:r w:rsidRPr="00A25F2C">
        <w:t xml:space="preserve">also covers Melbourne Water’s accountabilities to incorporate the promotion of integrated land and water resource management across the region, including sustainable and productive land use practices, as required under section 19C (2) of the </w:t>
      </w:r>
      <w:r w:rsidRPr="00A25F2C">
        <w:rPr>
          <w:i/>
        </w:rPr>
        <w:t>Catchment</w:t>
      </w:r>
      <w:r w:rsidR="00143D6B">
        <w:rPr>
          <w:i/>
        </w:rPr>
        <w:t xml:space="preserve"> </w:t>
      </w:r>
      <w:r w:rsidRPr="00A25F2C">
        <w:rPr>
          <w:i/>
        </w:rPr>
        <w:t>and Land Protection Act 1994</w:t>
      </w:r>
      <w:r w:rsidRPr="00A25F2C">
        <w:t>. These responsibilities provide an opportunity for the business to take a more holistic and</w:t>
      </w:r>
      <w:r w:rsidR="00143D6B">
        <w:t xml:space="preserve"> </w:t>
      </w:r>
      <w:r w:rsidRPr="00A25F2C">
        <w:t>integrated approach to our existing services and achieve optimum outcomes for our customers and the community.</w:t>
      </w:r>
    </w:p>
    <w:sdt>
      <w:sdtPr>
        <w:rPr>
          <w:rFonts w:asciiTheme="minorHAnsi" w:eastAsia="MS Mincho" w:hAnsiTheme="minorHAnsi"/>
          <w:b w:val="0"/>
          <w:sz w:val="20"/>
          <w:szCs w:val="20"/>
          <w:lang w:eastAsia="en-AU"/>
        </w:rPr>
        <w:id w:val="435646828"/>
        <w:docPartObj>
          <w:docPartGallery w:val="Table of Contents"/>
          <w:docPartUnique/>
        </w:docPartObj>
      </w:sdtPr>
      <w:sdtEndPr>
        <w:rPr>
          <w:rFonts w:ascii="Arial" w:hAnsi="Arial"/>
          <w:bCs/>
          <w:noProof/>
        </w:rPr>
      </w:sdtEndPr>
      <w:sdtContent>
        <w:p w14:paraId="3E3AB468" w14:textId="77777777" w:rsidR="00143D6B" w:rsidRPr="00891721" w:rsidRDefault="00143D6B" w:rsidP="00143D6B">
          <w:pPr>
            <w:pStyle w:val="TOCHeading"/>
          </w:pPr>
          <w:r>
            <w:t>Contents</w:t>
          </w:r>
        </w:p>
        <w:p w14:paraId="50A3C685" w14:textId="291DF870" w:rsidR="00400086" w:rsidRDefault="00671EDB">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47756848" w:history="1">
            <w:r w:rsidR="00400086" w:rsidRPr="0013495B">
              <w:rPr>
                <w:rStyle w:val="Hyperlink"/>
              </w:rPr>
              <w:t>Foreword</w:t>
            </w:r>
            <w:r w:rsidR="00400086">
              <w:rPr>
                <w:webHidden/>
              </w:rPr>
              <w:tab/>
            </w:r>
            <w:r w:rsidR="00400086">
              <w:rPr>
                <w:webHidden/>
              </w:rPr>
              <w:fldChar w:fldCharType="begin"/>
            </w:r>
            <w:r w:rsidR="00400086">
              <w:rPr>
                <w:webHidden/>
              </w:rPr>
              <w:instrText xml:space="preserve"> PAGEREF _Toc147756848 \h </w:instrText>
            </w:r>
            <w:r w:rsidR="00400086">
              <w:rPr>
                <w:webHidden/>
              </w:rPr>
            </w:r>
            <w:r w:rsidR="00400086">
              <w:rPr>
                <w:webHidden/>
              </w:rPr>
              <w:fldChar w:fldCharType="separate"/>
            </w:r>
            <w:r w:rsidR="007D0BE0">
              <w:rPr>
                <w:webHidden/>
              </w:rPr>
              <w:t>3</w:t>
            </w:r>
            <w:r w:rsidR="00400086">
              <w:rPr>
                <w:webHidden/>
              </w:rPr>
              <w:fldChar w:fldCharType="end"/>
            </w:r>
          </w:hyperlink>
        </w:p>
        <w:p w14:paraId="3603B69B" w14:textId="3AEBBD37" w:rsidR="00400086" w:rsidRDefault="00400086">
          <w:pPr>
            <w:pStyle w:val="TOC1"/>
            <w:rPr>
              <w:rFonts w:asciiTheme="minorHAnsi" w:eastAsiaTheme="minorEastAsia" w:hAnsiTheme="minorHAnsi" w:cstheme="minorBidi"/>
              <w:kern w:val="2"/>
              <w:sz w:val="22"/>
              <w:szCs w:val="22"/>
              <w14:ligatures w14:val="standardContextual"/>
            </w:rPr>
          </w:pPr>
          <w:hyperlink w:anchor="_Toc147756849" w:history="1">
            <w:r w:rsidRPr="0013495B">
              <w:rPr>
                <w:rStyle w:val="Hyperlink"/>
              </w:rPr>
              <w:t>Aboriginal acknowledgement</w:t>
            </w:r>
            <w:r>
              <w:rPr>
                <w:webHidden/>
              </w:rPr>
              <w:tab/>
            </w:r>
            <w:r>
              <w:rPr>
                <w:webHidden/>
              </w:rPr>
              <w:fldChar w:fldCharType="begin"/>
            </w:r>
            <w:r>
              <w:rPr>
                <w:webHidden/>
              </w:rPr>
              <w:instrText xml:space="preserve"> PAGEREF _Toc147756849 \h </w:instrText>
            </w:r>
            <w:r>
              <w:rPr>
                <w:webHidden/>
              </w:rPr>
            </w:r>
            <w:r>
              <w:rPr>
                <w:webHidden/>
              </w:rPr>
              <w:fldChar w:fldCharType="separate"/>
            </w:r>
            <w:r w:rsidR="007D0BE0">
              <w:rPr>
                <w:webHidden/>
              </w:rPr>
              <w:t>5</w:t>
            </w:r>
            <w:r>
              <w:rPr>
                <w:webHidden/>
              </w:rPr>
              <w:fldChar w:fldCharType="end"/>
            </w:r>
          </w:hyperlink>
        </w:p>
        <w:p w14:paraId="47812D6D" w14:textId="6133E8BD" w:rsidR="00400086" w:rsidRDefault="00400086">
          <w:pPr>
            <w:pStyle w:val="TOC1"/>
            <w:rPr>
              <w:rFonts w:asciiTheme="minorHAnsi" w:eastAsiaTheme="minorEastAsia" w:hAnsiTheme="minorHAnsi" w:cstheme="minorBidi"/>
              <w:kern w:val="2"/>
              <w:sz w:val="22"/>
              <w:szCs w:val="22"/>
              <w14:ligatures w14:val="standardContextual"/>
            </w:rPr>
          </w:pPr>
          <w:hyperlink w:anchor="_Toc147756850" w:history="1">
            <w:r w:rsidRPr="0013495B">
              <w:rPr>
                <w:rStyle w:val="Hyperlink"/>
              </w:rPr>
              <w:t>About this plan</w:t>
            </w:r>
            <w:r>
              <w:rPr>
                <w:webHidden/>
              </w:rPr>
              <w:tab/>
            </w:r>
            <w:r>
              <w:rPr>
                <w:webHidden/>
              </w:rPr>
              <w:fldChar w:fldCharType="begin"/>
            </w:r>
            <w:r>
              <w:rPr>
                <w:webHidden/>
              </w:rPr>
              <w:instrText xml:space="preserve"> PAGEREF _Toc147756850 \h </w:instrText>
            </w:r>
            <w:r>
              <w:rPr>
                <w:webHidden/>
              </w:rPr>
            </w:r>
            <w:r>
              <w:rPr>
                <w:webHidden/>
              </w:rPr>
              <w:fldChar w:fldCharType="separate"/>
            </w:r>
            <w:r w:rsidR="007D0BE0">
              <w:rPr>
                <w:webHidden/>
              </w:rPr>
              <w:t>6</w:t>
            </w:r>
            <w:r>
              <w:rPr>
                <w:webHidden/>
              </w:rPr>
              <w:fldChar w:fldCharType="end"/>
            </w:r>
          </w:hyperlink>
        </w:p>
        <w:p w14:paraId="41B895A0" w14:textId="54D68AE8" w:rsidR="00400086" w:rsidRDefault="00400086">
          <w:pPr>
            <w:pStyle w:val="TOC1"/>
            <w:rPr>
              <w:rFonts w:asciiTheme="minorHAnsi" w:eastAsiaTheme="minorEastAsia" w:hAnsiTheme="minorHAnsi" w:cstheme="minorBidi"/>
              <w:kern w:val="2"/>
              <w:sz w:val="22"/>
              <w:szCs w:val="22"/>
              <w14:ligatures w14:val="standardContextual"/>
            </w:rPr>
          </w:pPr>
          <w:hyperlink w:anchor="_Toc147756851" w:history="1">
            <w:r w:rsidRPr="0013495B">
              <w:rPr>
                <w:rStyle w:val="Hyperlink"/>
              </w:rPr>
              <w:t>Enhancing life and liveability</w:t>
            </w:r>
            <w:r>
              <w:rPr>
                <w:webHidden/>
              </w:rPr>
              <w:tab/>
            </w:r>
            <w:r>
              <w:rPr>
                <w:webHidden/>
              </w:rPr>
              <w:fldChar w:fldCharType="begin"/>
            </w:r>
            <w:r>
              <w:rPr>
                <w:webHidden/>
              </w:rPr>
              <w:instrText xml:space="preserve"> PAGEREF _Toc147756851 \h </w:instrText>
            </w:r>
            <w:r>
              <w:rPr>
                <w:webHidden/>
              </w:rPr>
            </w:r>
            <w:r>
              <w:rPr>
                <w:webHidden/>
              </w:rPr>
              <w:fldChar w:fldCharType="separate"/>
            </w:r>
            <w:r w:rsidR="007D0BE0">
              <w:rPr>
                <w:webHidden/>
              </w:rPr>
              <w:t>9</w:t>
            </w:r>
            <w:r>
              <w:rPr>
                <w:webHidden/>
              </w:rPr>
              <w:fldChar w:fldCharType="end"/>
            </w:r>
          </w:hyperlink>
        </w:p>
        <w:p w14:paraId="6150EB99" w14:textId="04B5C4F6"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52" w:history="1">
            <w:r w:rsidRPr="0013495B">
              <w:rPr>
                <w:rStyle w:val="Hyperlink"/>
                <w:noProof/>
              </w:rPr>
              <w:t>Our vision and values</w:t>
            </w:r>
            <w:r>
              <w:rPr>
                <w:noProof/>
                <w:webHidden/>
              </w:rPr>
              <w:tab/>
            </w:r>
            <w:r>
              <w:rPr>
                <w:noProof/>
                <w:webHidden/>
              </w:rPr>
              <w:fldChar w:fldCharType="begin"/>
            </w:r>
            <w:r>
              <w:rPr>
                <w:noProof/>
                <w:webHidden/>
              </w:rPr>
              <w:instrText xml:space="preserve"> PAGEREF _Toc147756852 \h </w:instrText>
            </w:r>
            <w:r>
              <w:rPr>
                <w:noProof/>
                <w:webHidden/>
              </w:rPr>
            </w:r>
            <w:r>
              <w:rPr>
                <w:noProof/>
                <w:webHidden/>
              </w:rPr>
              <w:fldChar w:fldCharType="separate"/>
            </w:r>
            <w:r w:rsidR="007D0BE0">
              <w:rPr>
                <w:noProof/>
                <w:webHidden/>
              </w:rPr>
              <w:t>9</w:t>
            </w:r>
            <w:r>
              <w:rPr>
                <w:noProof/>
                <w:webHidden/>
              </w:rPr>
              <w:fldChar w:fldCharType="end"/>
            </w:r>
          </w:hyperlink>
        </w:p>
        <w:p w14:paraId="786B2991" w14:textId="784CC063"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53" w:history="1">
            <w:r w:rsidRPr="0013495B">
              <w:rPr>
                <w:rStyle w:val="Hyperlink"/>
                <w:noProof/>
              </w:rPr>
              <w:t>Our services</w:t>
            </w:r>
            <w:r>
              <w:rPr>
                <w:noProof/>
                <w:webHidden/>
              </w:rPr>
              <w:tab/>
            </w:r>
            <w:r>
              <w:rPr>
                <w:noProof/>
                <w:webHidden/>
              </w:rPr>
              <w:fldChar w:fldCharType="begin"/>
            </w:r>
            <w:r>
              <w:rPr>
                <w:noProof/>
                <w:webHidden/>
              </w:rPr>
              <w:instrText xml:space="preserve"> PAGEREF _Toc147756853 \h </w:instrText>
            </w:r>
            <w:r>
              <w:rPr>
                <w:noProof/>
                <w:webHidden/>
              </w:rPr>
            </w:r>
            <w:r>
              <w:rPr>
                <w:noProof/>
                <w:webHidden/>
              </w:rPr>
              <w:fldChar w:fldCharType="separate"/>
            </w:r>
            <w:r w:rsidR="007D0BE0">
              <w:rPr>
                <w:noProof/>
                <w:webHidden/>
              </w:rPr>
              <w:t>9</w:t>
            </w:r>
            <w:r>
              <w:rPr>
                <w:noProof/>
                <w:webHidden/>
              </w:rPr>
              <w:fldChar w:fldCharType="end"/>
            </w:r>
          </w:hyperlink>
        </w:p>
        <w:p w14:paraId="4226897A" w14:textId="733BE9D9"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54" w:history="1">
            <w:r w:rsidRPr="0013495B">
              <w:rPr>
                <w:rStyle w:val="Hyperlink"/>
              </w:rPr>
              <w:t>Water</w:t>
            </w:r>
            <w:r>
              <w:rPr>
                <w:webHidden/>
              </w:rPr>
              <w:tab/>
            </w:r>
            <w:r>
              <w:rPr>
                <w:webHidden/>
              </w:rPr>
              <w:fldChar w:fldCharType="begin"/>
            </w:r>
            <w:r>
              <w:rPr>
                <w:webHidden/>
              </w:rPr>
              <w:instrText xml:space="preserve"> PAGEREF _Toc147756854 \h </w:instrText>
            </w:r>
            <w:r>
              <w:rPr>
                <w:webHidden/>
              </w:rPr>
            </w:r>
            <w:r>
              <w:rPr>
                <w:webHidden/>
              </w:rPr>
              <w:fldChar w:fldCharType="separate"/>
            </w:r>
            <w:r w:rsidR="007D0BE0">
              <w:rPr>
                <w:webHidden/>
              </w:rPr>
              <w:t>10</w:t>
            </w:r>
            <w:r>
              <w:rPr>
                <w:webHidden/>
              </w:rPr>
              <w:fldChar w:fldCharType="end"/>
            </w:r>
          </w:hyperlink>
        </w:p>
        <w:p w14:paraId="5B74D314" w14:textId="44903931"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55" w:history="1">
            <w:r w:rsidRPr="0013495B">
              <w:rPr>
                <w:rStyle w:val="Hyperlink"/>
              </w:rPr>
              <w:t>Sewerage</w:t>
            </w:r>
            <w:r>
              <w:rPr>
                <w:webHidden/>
              </w:rPr>
              <w:tab/>
            </w:r>
            <w:r>
              <w:rPr>
                <w:webHidden/>
              </w:rPr>
              <w:fldChar w:fldCharType="begin"/>
            </w:r>
            <w:r>
              <w:rPr>
                <w:webHidden/>
              </w:rPr>
              <w:instrText xml:space="preserve"> PAGEREF _Toc147756855 \h </w:instrText>
            </w:r>
            <w:r>
              <w:rPr>
                <w:webHidden/>
              </w:rPr>
            </w:r>
            <w:r>
              <w:rPr>
                <w:webHidden/>
              </w:rPr>
              <w:fldChar w:fldCharType="separate"/>
            </w:r>
            <w:r w:rsidR="007D0BE0">
              <w:rPr>
                <w:webHidden/>
              </w:rPr>
              <w:t>10</w:t>
            </w:r>
            <w:r>
              <w:rPr>
                <w:webHidden/>
              </w:rPr>
              <w:fldChar w:fldCharType="end"/>
            </w:r>
          </w:hyperlink>
        </w:p>
        <w:p w14:paraId="2BD2843A" w14:textId="46F9146A"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56" w:history="1">
            <w:r w:rsidRPr="0013495B">
              <w:rPr>
                <w:rStyle w:val="Hyperlink"/>
              </w:rPr>
              <w:t>Drainage</w:t>
            </w:r>
            <w:r>
              <w:rPr>
                <w:webHidden/>
              </w:rPr>
              <w:tab/>
            </w:r>
            <w:r>
              <w:rPr>
                <w:webHidden/>
              </w:rPr>
              <w:fldChar w:fldCharType="begin"/>
            </w:r>
            <w:r>
              <w:rPr>
                <w:webHidden/>
              </w:rPr>
              <w:instrText xml:space="preserve"> PAGEREF _Toc147756856 \h </w:instrText>
            </w:r>
            <w:r>
              <w:rPr>
                <w:webHidden/>
              </w:rPr>
            </w:r>
            <w:r>
              <w:rPr>
                <w:webHidden/>
              </w:rPr>
              <w:fldChar w:fldCharType="separate"/>
            </w:r>
            <w:r w:rsidR="007D0BE0">
              <w:rPr>
                <w:webHidden/>
              </w:rPr>
              <w:t>11</w:t>
            </w:r>
            <w:r>
              <w:rPr>
                <w:webHidden/>
              </w:rPr>
              <w:fldChar w:fldCharType="end"/>
            </w:r>
          </w:hyperlink>
        </w:p>
        <w:p w14:paraId="4627765E" w14:textId="4187EAD9"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57" w:history="1">
            <w:r w:rsidRPr="0013495B">
              <w:rPr>
                <w:rStyle w:val="Hyperlink"/>
              </w:rPr>
              <w:t>Waterways and catchment management</w:t>
            </w:r>
            <w:r>
              <w:rPr>
                <w:webHidden/>
              </w:rPr>
              <w:tab/>
            </w:r>
            <w:r>
              <w:rPr>
                <w:webHidden/>
              </w:rPr>
              <w:fldChar w:fldCharType="begin"/>
            </w:r>
            <w:r>
              <w:rPr>
                <w:webHidden/>
              </w:rPr>
              <w:instrText xml:space="preserve"> PAGEREF _Toc147756857 \h </w:instrText>
            </w:r>
            <w:r>
              <w:rPr>
                <w:webHidden/>
              </w:rPr>
            </w:r>
            <w:r>
              <w:rPr>
                <w:webHidden/>
              </w:rPr>
              <w:fldChar w:fldCharType="separate"/>
            </w:r>
            <w:r w:rsidR="007D0BE0">
              <w:rPr>
                <w:webHidden/>
              </w:rPr>
              <w:t>11</w:t>
            </w:r>
            <w:r>
              <w:rPr>
                <w:webHidden/>
              </w:rPr>
              <w:fldChar w:fldCharType="end"/>
            </w:r>
          </w:hyperlink>
        </w:p>
        <w:p w14:paraId="72F4D10F" w14:textId="1A13E0E1"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58" w:history="1">
            <w:r w:rsidRPr="0013495B">
              <w:rPr>
                <w:rStyle w:val="Hyperlink"/>
                <w:noProof/>
              </w:rPr>
              <w:t>Our operating environment</w:t>
            </w:r>
            <w:r>
              <w:rPr>
                <w:noProof/>
                <w:webHidden/>
              </w:rPr>
              <w:tab/>
            </w:r>
            <w:r>
              <w:rPr>
                <w:noProof/>
                <w:webHidden/>
              </w:rPr>
              <w:fldChar w:fldCharType="begin"/>
            </w:r>
            <w:r>
              <w:rPr>
                <w:noProof/>
                <w:webHidden/>
              </w:rPr>
              <w:instrText xml:space="preserve"> PAGEREF _Toc147756858 \h </w:instrText>
            </w:r>
            <w:r>
              <w:rPr>
                <w:noProof/>
                <w:webHidden/>
              </w:rPr>
            </w:r>
            <w:r>
              <w:rPr>
                <w:noProof/>
                <w:webHidden/>
              </w:rPr>
              <w:fldChar w:fldCharType="separate"/>
            </w:r>
            <w:r w:rsidR="007D0BE0">
              <w:rPr>
                <w:noProof/>
                <w:webHidden/>
              </w:rPr>
              <w:t>12</w:t>
            </w:r>
            <w:r>
              <w:rPr>
                <w:noProof/>
                <w:webHidden/>
              </w:rPr>
              <w:fldChar w:fldCharType="end"/>
            </w:r>
          </w:hyperlink>
        </w:p>
        <w:p w14:paraId="35050F48" w14:textId="288EE376"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59" w:history="1">
            <w:r w:rsidRPr="0013495B">
              <w:rPr>
                <w:rStyle w:val="Hyperlink"/>
              </w:rPr>
              <w:t>Climate change</w:t>
            </w:r>
            <w:r>
              <w:rPr>
                <w:webHidden/>
              </w:rPr>
              <w:tab/>
            </w:r>
            <w:r>
              <w:rPr>
                <w:webHidden/>
              </w:rPr>
              <w:fldChar w:fldCharType="begin"/>
            </w:r>
            <w:r>
              <w:rPr>
                <w:webHidden/>
              </w:rPr>
              <w:instrText xml:space="preserve"> PAGEREF _Toc147756859 \h </w:instrText>
            </w:r>
            <w:r>
              <w:rPr>
                <w:webHidden/>
              </w:rPr>
            </w:r>
            <w:r>
              <w:rPr>
                <w:webHidden/>
              </w:rPr>
              <w:fldChar w:fldCharType="separate"/>
            </w:r>
            <w:r w:rsidR="007D0BE0">
              <w:rPr>
                <w:webHidden/>
              </w:rPr>
              <w:t>12</w:t>
            </w:r>
            <w:r>
              <w:rPr>
                <w:webHidden/>
              </w:rPr>
              <w:fldChar w:fldCharType="end"/>
            </w:r>
          </w:hyperlink>
        </w:p>
        <w:p w14:paraId="1E28071D" w14:textId="2B17CF66"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0" w:history="1">
            <w:r w:rsidRPr="0013495B">
              <w:rPr>
                <w:rStyle w:val="Hyperlink"/>
              </w:rPr>
              <w:t>Managing the cost-of-living impacts</w:t>
            </w:r>
            <w:r>
              <w:rPr>
                <w:webHidden/>
              </w:rPr>
              <w:tab/>
            </w:r>
            <w:r>
              <w:rPr>
                <w:webHidden/>
              </w:rPr>
              <w:fldChar w:fldCharType="begin"/>
            </w:r>
            <w:r>
              <w:rPr>
                <w:webHidden/>
              </w:rPr>
              <w:instrText xml:space="preserve"> PAGEREF _Toc147756860 \h </w:instrText>
            </w:r>
            <w:r>
              <w:rPr>
                <w:webHidden/>
              </w:rPr>
            </w:r>
            <w:r>
              <w:rPr>
                <w:webHidden/>
              </w:rPr>
              <w:fldChar w:fldCharType="separate"/>
            </w:r>
            <w:r w:rsidR="007D0BE0">
              <w:rPr>
                <w:webHidden/>
              </w:rPr>
              <w:t>13</w:t>
            </w:r>
            <w:r>
              <w:rPr>
                <w:webHidden/>
              </w:rPr>
              <w:fldChar w:fldCharType="end"/>
            </w:r>
          </w:hyperlink>
        </w:p>
        <w:p w14:paraId="00A5A1BB" w14:textId="7BCFC5AC"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1" w:history="1">
            <w:r w:rsidRPr="0013495B">
              <w:rPr>
                <w:rStyle w:val="Hyperlink"/>
              </w:rPr>
              <w:t>Delivering on statewide policies and strategies</w:t>
            </w:r>
            <w:r>
              <w:rPr>
                <w:webHidden/>
              </w:rPr>
              <w:tab/>
            </w:r>
            <w:r>
              <w:rPr>
                <w:webHidden/>
              </w:rPr>
              <w:fldChar w:fldCharType="begin"/>
            </w:r>
            <w:r>
              <w:rPr>
                <w:webHidden/>
              </w:rPr>
              <w:instrText xml:space="preserve"> PAGEREF _Toc147756861 \h </w:instrText>
            </w:r>
            <w:r>
              <w:rPr>
                <w:webHidden/>
              </w:rPr>
            </w:r>
            <w:r>
              <w:rPr>
                <w:webHidden/>
              </w:rPr>
              <w:fldChar w:fldCharType="separate"/>
            </w:r>
            <w:r w:rsidR="007D0BE0">
              <w:rPr>
                <w:webHidden/>
              </w:rPr>
              <w:t>13</w:t>
            </w:r>
            <w:r>
              <w:rPr>
                <w:webHidden/>
              </w:rPr>
              <w:fldChar w:fldCharType="end"/>
            </w:r>
          </w:hyperlink>
        </w:p>
        <w:p w14:paraId="6D3A2D44" w14:textId="4C486E4F"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2" w:history="1">
            <w:r w:rsidRPr="0013495B">
              <w:rPr>
                <w:rStyle w:val="Hyperlink"/>
              </w:rPr>
              <w:t>Working with Traditional Owners</w:t>
            </w:r>
            <w:r>
              <w:rPr>
                <w:webHidden/>
              </w:rPr>
              <w:tab/>
            </w:r>
            <w:r>
              <w:rPr>
                <w:webHidden/>
              </w:rPr>
              <w:fldChar w:fldCharType="begin"/>
            </w:r>
            <w:r>
              <w:rPr>
                <w:webHidden/>
              </w:rPr>
              <w:instrText xml:space="preserve"> PAGEREF _Toc147756862 \h </w:instrText>
            </w:r>
            <w:r>
              <w:rPr>
                <w:webHidden/>
              </w:rPr>
            </w:r>
            <w:r>
              <w:rPr>
                <w:webHidden/>
              </w:rPr>
              <w:fldChar w:fldCharType="separate"/>
            </w:r>
            <w:r w:rsidR="007D0BE0">
              <w:rPr>
                <w:webHidden/>
              </w:rPr>
              <w:t>14</w:t>
            </w:r>
            <w:r>
              <w:rPr>
                <w:webHidden/>
              </w:rPr>
              <w:fldChar w:fldCharType="end"/>
            </w:r>
          </w:hyperlink>
        </w:p>
        <w:p w14:paraId="6BE77B98" w14:textId="0DE34715"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3" w:history="1">
            <w:r w:rsidRPr="0013495B">
              <w:rPr>
                <w:rStyle w:val="Hyperlink"/>
              </w:rPr>
              <w:t>The Accord</w:t>
            </w:r>
            <w:r>
              <w:rPr>
                <w:webHidden/>
              </w:rPr>
              <w:tab/>
            </w:r>
            <w:r>
              <w:rPr>
                <w:webHidden/>
              </w:rPr>
              <w:fldChar w:fldCharType="begin"/>
            </w:r>
            <w:r>
              <w:rPr>
                <w:webHidden/>
              </w:rPr>
              <w:instrText xml:space="preserve"> PAGEREF _Toc147756863 \h </w:instrText>
            </w:r>
            <w:r>
              <w:rPr>
                <w:webHidden/>
              </w:rPr>
            </w:r>
            <w:r>
              <w:rPr>
                <w:webHidden/>
              </w:rPr>
              <w:fldChar w:fldCharType="separate"/>
            </w:r>
            <w:r w:rsidR="007D0BE0">
              <w:rPr>
                <w:webHidden/>
              </w:rPr>
              <w:t>14</w:t>
            </w:r>
            <w:r>
              <w:rPr>
                <w:webHidden/>
              </w:rPr>
              <w:fldChar w:fldCharType="end"/>
            </w:r>
          </w:hyperlink>
        </w:p>
        <w:p w14:paraId="2A7D5F32" w14:textId="783696D6"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64" w:history="1">
            <w:r w:rsidRPr="0013495B">
              <w:rPr>
                <w:rStyle w:val="Hyperlink"/>
                <w:noProof/>
              </w:rPr>
              <w:t>Our strategic intent</w:t>
            </w:r>
            <w:r>
              <w:rPr>
                <w:noProof/>
                <w:webHidden/>
              </w:rPr>
              <w:tab/>
            </w:r>
            <w:r>
              <w:rPr>
                <w:noProof/>
                <w:webHidden/>
              </w:rPr>
              <w:fldChar w:fldCharType="begin"/>
            </w:r>
            <w:r>
              <w:rPr>
                <w:noProof/>
                <w:webHidden/>
              </w:rPr>
              <w:instrText xml:space="preserve"> PAGEREF _Toc147756864 \h </w:instrText>
            </w:r>
            <w:r>
              <w:rPr>
                <w:noProof/>
                <w:webHidden/>
              </w:rPr>
            </w:r>
            <w:r>
              <w:rPr>
                <w:noProof/>
                <w:webHidden/>
              </w:rPr>
              <w:fldChar w:fldCharType="separate"/>
            </w:r>
            <w:r w:rsidR="007D0BE0">
              <w:rPr>
                <w:noProof/>
                <w:webHidden/>
              </w:rPr>
              <w:t>14</w:t>
            </w:r>
            <w:r>
              <w:rPr>
                <w:noProof/>
                <w:webHidden/>
              </w:rPr>
              <w:fldChar w:fldCharType="end"/>
            </w:r>
          </w:hyperlink>
        </w:p>
        <w:p w14:paraId="26B9C713" w14:textId="43E111F9"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5" w:history="1">
            <w:r w:rsidRPr="0013495B">
              <w:rPr>
                <w:rStyle w:val="Hyperlink"/>
              </w:rPr>
              <w:t>Delivering on Water for Victoria</w:t>
            </w:r>
            <w:r>
              <w:rPr>
                <w:webHidden/>
              </w:rPr>
              <w:tab/>
            </w:r>
            <w:r>
              <w:rPr>
                <w:webHidden/>
              </w:rPr>
              <w:fldChar w:fldCharType="begin"/>
            </w:r>
            <w:r>
              <w:rPr>
                <w:webHidden/>
              </w:rPr>
              <w:instrText xml:space="preserve"> PAGEREF _Toc147756865 \h </w:instrText>
            </w:r>
            <w:r>
              <w:rPr>
                <w:webHidden/>
              </w:rPr>
            </w:r>
            <w:r>
              <w:rPr>
                <w:webHidden/>
              </w:rPr>
              <w:fldChar w:fldCharType="separate"/>
            </w:r>
            <w:r w:rsidR="007D0BE0">
              <w:rPr>
                <w:webHidden/>
              </w:rPr>
              <w:t>15</w:t>
            </w:r>
            <w:r>
              <w:rPr>
                <w:webHidden/>
              </w:rPr>
              <w:fldChar w:fldCharType="end"/>
            </w:r>
          </w:hyperlink>
        </w:p>
        <w:p w14:paraId="4016E970" w14:textId="1243F69F"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6" w:history="1">
            <w:r w:rsidRPr="0013495B">
              <w:rPr>
                <w:rStyle w:val="Hyperlink"/>
              </w:rPr>
              <w:t>Driving sustainability through what we do</w:t>
            </w:r>
            <w:r>
              <w:rPr>
                <w:webHidden/>
              </w:rPr>
              <w:tab/>
            </w:r>
            <w:r>
              <w:rPr>
                <w:webHidden/>
              </w:rPr>
              <w:fldChar w:fldCharType="begin"/>
            </w:r>
            <w:r>
              <w:rPr>
                <w:webHidden/>
              </w:rPr>
              <w:instrText xml:space="preserve"> PAGEREF _Toc147756866 \h </w:instrText>
            </w:r>
            <w:r>
              <w:rPr>
                <w:webHidden/>
              </w:rPr>
            </w:r>
            <w:r>
              <w:rPr>
                <w:webHidden/>
              </w:rPr>
              <w:fldChar w:fldCharType="separate"/>
            </w:r>
            <w:r w:rsidR="007D0BE0">
              <w:rPr>
                <w:webHidden/>
              </w:rPr>
              <w:t>15</w:t>
            </w:r>
            <w:r>
              <w:rPr>
                <w:webHidden/>
              </w:rPr>
              <w:fldChar w:fldCharType="end"/>
            </w:r>
          </w:hyperlink>
        </w:p>
        <w:p w14:paraId="4A0636BE" w14:textId="72D1F625" w:rsidR="00400086" w:rsidRDefault="00400086">
          <w:pPr>
            <w:pStyle w:val="TOC1"/>
            <w:rPr>
              <w:rFonts w:asciiTheme="minorHAnsi" w:eastAsiaTheme="minorEastAsia" w:hAnsiTheme="minorHAnsi" w:cstheme="minorBidi"/>
              <w:kern w:val="2"/>
              <w:sz w:val="22"/>
              <w:szCs w:val="22"/>
              <w14:ligatures w14:val="standardContextual"/>
            </w:rPr>
          </w:pPr>
          <w:hyperlink w:anchor="_Toc147756867" w:history="1">
            <w:r w:rsidRPr="0013495B">
              <w:rPr>
                <w:rStyle w:val="Hyperlink"/>
              </w:rPr>
              <w:t>Delivering for Melbourne</w:t>
            </w:r>
            <w:r>
              <w:rPr>
                <w:webHidden/>
              </w:rPr>
              <w:tab/>
            </w:r>
            <w:r>
              <w:rPr>
                <w:webHidden/>
              </w:rPr>
              <w:fldChar w:fldCharType="begin"/>
            </w:r>
            <w:r>
              <w:rPr>
                <w:webHidden/>
              </w:rPr>
              <w:instrText xml:space="preserve"> PAGEREF _Toc147756867 \h </w:instrText>
            </w:r>
            <w:r>
              <w:rPr>
                <w:webHidden/>
              </w:rPr>
            </w:r>
            <w:r>
              <w:rPr>
                <w:webHidden/>
              </w:rPr>
              <w:fldChar w:fldCharType="separate"/>
            </w:r>
            <w:r w:rsidR="007D0BE0">
              <w:rPr>
                <w:webHidden/>
              </w:rPr>
              <w:t>17</w:t>
            </w:r>
            <w:r>
              <w:rPr>
                <w:webHidden/>
              </w:rPr>
              <w:fldChar w:fldCharType="end"/>
            </w:r>
          </w:hyperlink>
        </w:p>
        <w:p w14:paraId="6B6EF4AE" w14:textId="65BCC819"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68" w:history="1">
            <w:r w:rsidRPr="0013495B">
              <w:rPr>
                <w:rStyle w:val="Hyperlink"/>
                <w:noProof/>
              </w:rPr>
              <w:t>Resilient and liveable cities and towns</w:t>
            </w:r>
            <w:r>
              <w:rPr>
                <w:noProof/>
                <w:webHidden/>
              </w:rPr>
              <w:tab/>
            </w:r>
            <w:r>
              <w:rPr>
                <w:noProof/>
                <w:webHidden/>
              </w:rPr>
              <w:fldChar w:fldCharType="begin"/>
            </w:r>
            <w:r>
              <w:rPr>
                <w:noProof/>
                <w:webHidden/>
              </w:rPr>
              <w:instrText xml:space="preserve"> PAGEREF _Toc147756868 \h </w:instrText>
            </w:r>
            <w:r>
              <w:rPr>
                <w:noProof/>
                <w:webHidden/>
              </w:rPr>
            </w:r>
            <w:r>
              <w:rPr>
                <w:noProof/>
                <w:webHidden/>
              </w:rPr>
              <w:fldChar w:fldCharType="separate"/>
            </w:r>
            <w:r w:rsidR="007D0BE0">
              <w:rPr>
                <w:noProof/>
                <w:webHidden/>
              </w:rPr>
              <w:t>17</w:t>
            </w:r>
            <w:r>
              <w:rPr>
                <w:noProof/>
                <w:webHidden/>
              </w:rPr>
              <w:fldChar w:fldCharType="end"/>
            </w:r>
          </w:hyperlink>
        </w:p>
        <w:p w14:paraId="1AADB95D" w14:textId="608E650F"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69" w:history="1">
            <w:r w:rsidRPr="0013495B">
              <w:rPr>
                <w:rStyle w:val="Hyperlink"/>
              </w:rPr>
              <w:t>What we do now</w:t>
            </w:r>
            <w:r>
              <w:rPr>
                <w:webHidden/>
              </w:rPr>
              <w:tab/>
            </w:r>
            <w:r>
              <w:rPr>
                <w:webHidden/>
              </w:rPr>
              <w:fldChar w:fldCharType="begin"/>
            </w:r>
            <w:r>
              <w:rPr>
                <w:webHidden/>
              </w:rPr>
              <w:instrText xml:space="preserve"> PAGEREF _Toc147756869 \h </w:instrText>
            </w:r>
            <w:r>
              <w:rPr>
                <w:webHidden/>
              </w:rPr>
            </w:r>
            <w:r>
              <w:rPr>
                <w:webHidden/>
              </w:rPr>
              <w:fldChar w:fldCharType="separate"/>
            </w:r>
            <w:r w:rsidR="007D0BE0">
              <w:rPr>
                <w:webHidden/>
              </w:rPr>
              <w:t>17</w:t>
            </w:r>
            <w:r>
              <w:rPr>
                <w:webHidden/>
              </w:rPr>
              <w:fldChar w:fldCharType="end"/>
            </w:r>
          </w:hyperlink>
        </w:p>
        <w:p w14:paraId="15ACEBE5" w14:textId="7AECF06D"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0" w:history="1">
            <w:r w:rsidRPr="0013495B">
              <w:rPr>
                <w:rStyle w:val="Hyperlink"/>
              </w:rPr>
              <w:t>Our long-term plan</w:t>
            </w:r>
            <w:r>
              <w:rPr>
                <w:webHidden/>
              </w:rPr>
              <w:tab/>
            </w:r>
            <w:r>
              <w:rPr>
                <w:webHidden/>
              </w:rPr>
              <w:fldChar w:fldCharType="begin"/>
            </w:r>
            <w:r>
              <w:rPr>
                <w:webHidden/>
              </w:rPr>
              <w:instrText xml:space="preserve"> PAGEREF _Toc147756870 \h </w:instrText>
            </w:r>
            <w:r>
              <w:rPr>
                <w:webHidden/>
              </w:rPr>
            </w:r>
            <w:r>
              <w:rPr>
                <w:webHidden/>
              </w:rPr>
              <w:fldChar w:fldCharType="separate"/>
            </w:r>
            <w:r w:rsidR="007D0BE0">
              <w:rPr>
                <w:webHidden/>
              </w:rPr>
              <w:t>20</w:t>
            </w:r>
            <w:r>
              <w:rPr>
                <w:webHidden/>
              </w:rPr>
              <w:fldChar w:fldCharType="end"/>
            </w:r>
          </w:hyperlink>
        </w:p>
        <w:p w14:paraId="25E27221" w14:textId="52534814"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1" w:history="1">
            <w:r w:rsidRPr="0013495B">
              <w:rPr>
                <w:rStyle w:val="Hyperlink"/>
              </w:rPr>
              <w:t>The year ahead</w:t>
            </w:r>
            <w:r>
              <w:rPr>
                <w:webHidden/>
              </w:rPr>
              <w:tab/>
            </w:r>
            <w:r>
              <w:rPr>
                <w:webHidden/>
              </w:rPr>
              <w:fldChar w:fldCharType="begin"/>
            </w:r>
            <w:r>
              <w:rPr>
                <w:webHidden/>
              </w:rPr>
              <w:instrText xml:space="preserve"> PAGEREF _Toc147756871 \h </w:instrText>
            </w:r>
            <w:r>
              <w:rPr>
                <w:webHidden/>
              </w:rPr>
            </w:r>
            <w:r>
              <w:rPr>
                <w:webHidden/>
              </w:rPr>
              <w:fldChar w:fldCharType="separate"/>
            </w:r>
            <w:r w:rsidR="007D0BE0">
              <w:rPr>
                <w:webHidden/>
              </w:rPr>
              <w:t>21</w:t>
            </w:r>
            <w:r>
              <w:rPr>
                <w:webHidden/>
              </w:rPr>
              <w:fldChar w:fldCharType="end"/>
            </w:r>
          </w:hyperlink>
        </w:p>
        <w:p w14:paraId="7B412FD4" w14:textId="2326A860"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72" w:history="1">
            <w:r w:rsidRPr="0013495B">
              <w:rPr>
                <w:rStyle w:val="Hyperlink"/>
                <w:noProof/>
              </w:rPr>
              <w:t>Customer and community outcomes</w:t>
            </w:r>
            <w:r>
              <w:rPr>
                <w:noProof/>
                <w:webHidden/>
              </w:rPr>
              <w:tab/>
            </w:r>
            <w:r>
              <w:rPr>
                <w:noProof/>
                <w:webHidden/>
              </w:rPr>
              <w:fldChar w:fldCharType="begin"/>
            </w:r>
            <w:r>
              <w:rPr>
                <w:noProof/>
                <w:webHidden/>
              </w:rPr>
              <w:instrText xml:space="preserve"> PAGEREF _Toc147756872 \h </w:instrText>
            </w:r>
            <w:r>
              <w:rPr>
                <w:noProof/>
                <w:webHidden/>
              </w:rPr>
            </w:r>
            <w:r>
              <w:rPr>
                <w:noProof/>
                <w:webHidden/>
              </w:rPr>
              <w:fldChar w:fldCharType="separate"/>
            </w:r>
            <w:r w:rsidR="007D0BE0">
              <w:rPr>
                <w:noProof/>
                <w:webHidden/>
              </w:rPr>
              <w:t>22</w:t>
            </w:r>
            <w:r>
              <w:rPr>
                <w:noProof/>
                <w:webHidden/>
              </w:rPr>
              <w:fldChar w:fldCharType="end"/>
            </w:r>
          </w:hyperlink>
        </w:p>
        <w:p w14:paraId="0ED4E209" w14:textId="7A0C3583"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3" w:history="1">
            <w:r w:rsidRPr="0013495B">
              <w:rPr>
                <w:rStyle w:val="Hyperlink"/>
              </w:rPr>
              <w:t>What we do now</w:t>
            </w:r>
            <w:r>
              <w:rPr>
                <w:webHidden/>
              </w:rPr>
              <w:tab/>
            </w:r>
            <w:r>
              <w:rPr>
                <w:webHidden/>
              </w:rPr>
              <w:fldChar w:fldCharType="begin"/>
            </w:r>
            <w:r>
              <w:rPr>
                <w:webHidden/>
              </w:rPr>
              <w:instrText xml:space="preserve"> PAGEREF _Toc147756873 \h </w:instrText>
            </w:r>
            <w:r>
              <w:rPr>
                <w:webHidden/>
              </w:rPr>
            </w:r>
            <w:r>
              <w:rPr>
                <w:webHidden/>
              </w:rPr>
              <w:fldChar w:fldCharType="separate"/>
            </w:r>
            <w:r w:rsidR="007D0BE0">
              <w:rPr>
                <w:webHidden/>
              </w:rPr>
              <w:t>22</w:t>
            </w:r>
            <w:r>
              <w:rPr>
                <w:webHidden/>
              </w:rPr>
              <w:fldChar w:fldCharType="end"/>
            </w:r>
          </w:hyperlink>
        </w:p>
        <w:p w14:paraId="17F03D3A" w14:textId="2E6065FB"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4" w:history="1">
            <w:r w:rsidRPr="0013495B">
              <w:rPr>
                <w:rStyle w:val="Hyperlink"/>
              </w:rPr>
              <w:t>Our long-term plan</w:t>
            </w:r>
            <w:r>
              <w:rPr>
                <w:webHidden/>
              </w:rPr>
              <w:tab/>
            </w:r>
            <w:r>
              <w:rPr>
                <w:webHidden/>
              </w:rPr>
              <w:fldChar w:fldCharType="begin"/>
            </w:r>
            <w:r>
              <w:rPr>
                <w:webHidden/>
              </w:rPr>
              <w:instrText xml:space="preserve"> PAGEREF _Toc147756874 \h </w:instrText>
            </w:r>
            <w:r>
              <w:rPr>
                <w:webHidden/>
              </w:rPr>
            </w:r>
            <w:r>
              <w:rPr>
                <w:webHidden/>
              </w:rPr>
              <w:fldChar w:fldCharType="separate"/>
            </w:r>
            <w:r w:rsidR="007D0BE0">
              <w:rPr>
                <w:webHidden/>
              </w:rPr>
              <w:t>24</w:t>
            </w:r>
            <w:r>
              <w:rPr>
                <w:webHidden/>
              </w:rPr>
              <w:fldChar w:fldCharType="end"/>
            </w:r>
          </w:hyperlink>
        </w:p>
        <w:p w14:paraId="76699842" w14:textId="64B594BE"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5" w:history="1">
            <w:r w:rsidRPr="0013495B">
              <w:rPr>
                <w:rStyle w:val="Hyperlink"/>
              </w:rPr>
              <w:t>The year ahead</w:t>
            </w:r>
            <w:r>
              <w:rPr>
                <w:webHidden/>
              </w:rPr>
              <w:tab/>
            </w:r>
            <w:r>
              <w:rPr>
                <w:webHidden/>
              </w:rPr>
              <w:fldChar w:fldCharType="begin"/>
            </w:r>
            <w:r>
              <w:rPr>
                <w:webHidden/>
              </w:rPr>
              <w:instrText xml:space="preserve"> PAGEREF _Toc147756875 \h </w:instrText>
            </w:r>
            <w:r>
              <w:rPr>
                <w:webHidden/>
              </w:rPr>
            </w:r>
            <w:r>
              <w:rPr>
                <w:webHidden/>
              </w:rPr>
              <w:fldChar w:fldCharType="separate"/>
            </w:r>
            <w:r w:rsidR="007D0BE0">
              <w:rPr>
                <w:webHidden/>
              </w:rPr>
              <w:t>24</w:t>
            </w:r>
            <w:r>
              <w:rPr>
                <w:webHidden/>
              </w:rPr>
              <w:fldChar w:fldCharType="end"/>
            </w:r>
          </w:hyperlink>
        </w:p>
        <w:p w14:paraId="4C03130A" w14:textId="2D8190CA"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76" w:history="1">
            <w:r w:rsidRPr="0013495B">
              <w:rPr>
                <w:rStyle w:val="Hyperlink"/>
                <w:noProof/>
              </w:rPr>
              <w:t>Responding to climate change</w:t>
            </w:r>
            <w:r>
              <w:rPr>
                <w:noProof/>
                <w:webHidden/>
              </w:rPr>
              <w:tab/>
            </w:r>
            <w:r>
              <w:rPr>
                <w:noProof/>
                <w:webHidden/>
              </w:rPr>
              <w:fldChar w:fldCharType="begin"/>
            </w:r>
            <w:r>
              <w:rPr>
                <w:noProof/>
                <w:webHidden/>
              </w:rPr>
              <w:instrText xml:space="preserve"> PAGEREF _Toc147756876 \h </w:instrText>
            </w:r>
            <w:r>
              <w:rPr>
                <w:noProof/>
                <w:webHidden/>
              </w:rPr>
            </w:r>
            <w:r>
              <w:rPr>
                <w:noProof/>
                <w:webHidden/>
              </w:rPr>
              <w:fldChar w:fldCharType="separate"/>
            </w:r>
            <w:r w:rsidR="007D0BE0">
              <w:rPr>
                <w:noProof/>
                <w:webHidden/>
              </w:rPr>
              <w:t>26</w:t>
            </w:r>
            <w:r>
              <w:rPr>
                <w:noProof/>
                <w:webHidden/>
              </w:rPr>
              <w:fldChar w:fldCharType="end"/>
            </w:r>
          </w:hyperlink>
        </w:p>
        <w:p w14:paraId="2CFE323D" w14:textId="2DA985D4"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7" w:history="1">
            <w:r w:rsidRPr="0013495B">
              <w:rPr>
                <w:rStyle w:val="Hyperlink"/>
              </w:rPr>
              <w:t>What we do now</w:t>
            </w:r>
            <w:r>
              <w:rPr>
                <w:webHidden/>
              </w:rPr>
              <w:tab/>
            </w:r>
            <w:r>
              <w:rPr>
                <w:webHidden/>
              </w:rPr>
              <w:fldChar w:fldCharType="begin"/>
            </w:r>
            <w:r>
              <w:rPr>
                <w:webHidden/>
              </w:rPr>
              <w:instrText xml:space="preserve"> PAGEREF _Toc147756877 \h </w:instrText>
            </w:r>
            <w:r>
              <w:rPr>
                <w:webHidden/>
              </w:rPr>
            </w:r>
            <w:r>
              <w:rPr>
                <w:webHidden/>
              </w:rPr>
              <w:fldChar w:fldCharType="separate"/>
            </w:r>
            <w:r w:rsidR="007D0BE0">
              <w:rPr>
                <w:webHidden/>
              </w:rPr>
              <w:t>26</w:t>
            </w:r>
            <w:r>
              <w:rPr>
                <w:webHidden/>
              </w:rPr>
              <w:fldChar w:fldCharType="end"/>
            </w:r>
          </w:hyperlink>
        </w:p>
        <w:p w14:paraId="2EDA0C34" w14:textId="519B0A59"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8" w:history="1">
            <w:r w:rsidRPr="0013495B">
              <w:rPr>
                <w:rStyle w:val="Hyperlink"/>
              </w:rPr>
              <w:t>Impacts of a changing climate and how we will respond</w:t>
            </w:r>
            <w:r>
              <w:rPr>
                <w:webHidden/>
              </w:rPr>
              <w:tab/>
            </w:r>
            <w:r>
              <w:rPr>
                <w:webHidden/>
              </w:rPr>
              <w:fldChar w:fldCharType="begin"/>
            </w:r>
            <w:r>
              <w:rPr>
                <w:webHidden/>
              </w:rPr>
              <w:instrText xml:space="preserve"> PAGEREF _Toc147756878 \h </w:instrText>
            </w:r>
            <w:r>
              <w:rPr>
                <w:webHidden/>
              </w:rPr>
            </w:r>
            <w:r>
              <w:rPr>
                <w:webHidden/>
              </w:rPr>
              <w:fldChar w:fldCharType="separate"/>
            </w:r>
            <w:r w:rsidR="007D0BE0">
              <w:rPr>
                <w:webHidden/>
              </w:rPr>
              <w:t>27</w:t>
            </w:r>
            <w:r>
              <w:rPr>
                <w:webHidden/>
              </w:rPr>
              <w:fldChar w:fldCharType="end"/>
            </w:r>
          </w:hyperlink>
        </w:p>
        <w:p w14:paraId="7E12E9A6" w14:textId="576EC129"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79" w:history="1">
            <w:r w:rsidRPr="0013495B">
              <w:rPr>
                <w:rStyle w:val="Hyperlink"/>
              </w:rPr>
              <w:t>Cutting emissions through international partnerships</w:t>
            </w:r>
            <w:r>
              <w:rPr>
                <w:webHidden/>
              </w:rPr>
              <w:tab/>
            </w:r>
            <w:r>
              <w:rPr>
                <w:webHidden/>
              </w:rPr>
              <w:fldChar w:fldCharType="begin"/>
            </w:r>
            <w:r>
              <w:rPr>
                <w:webHidden/>
              </w:rPr>
              <w:instrText xml:space="preserve"> PAGEREF _Toc147756879 \h </w:instrText>
            </w:r>
            <w:r>
              <w:rPr>
                <w:webHidden/>
              </w:rPr>
            </w:r>
            <w:r>
              <w:rPr>
                <w:webHidden/>
              </w:rPr>
              <w:fldChar w:fldCharType="separate"/>
            </w:r>
            <w:r w:rsidR="007D0BE0">
              <w:rPr>
                <w:webHidden/>
              </w:rPr>
              <w:t>28</w:t>
            </w:r>
            <w:r>
              <w:rPr>
                <w:webHidden/>
              </w:rPr>
              <w:fldChar w:fldCharType="end"/>
            </w:r>
          </w:hyperlink>
        </w:p>
        <w:p w14:paraId="369A7F70" w14:textId="2FD08375"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80" w:history="1">
            <w:r w:rsidRPr="0013495B">
              <w:rPr>
                <w:rStyle w:val="Hyperlink"/>
                <w:noProof/>
              </w:rPr>
              <w:t>Water for Aboriginal cultural, spiritual and economic values</w:t>
            </w:r>
            <w:r>
              <w:rPr>
                <w:noProof/>
                <w:webHidden/>
              </w:rPr>
              <w:tab/>
            </w:r>
            <w:r>
              <w:rPr>
                <w:noProof/>
                <w:webHidden/>
              </w:rPr>
              <w:fldChar w:fldCharType="begin"/>
            </w:r>
            <w:r>
              <w:rPr>
                <w:noProof/>
                <w:webHidden/>
              </w:rPr>
              <w:instrText xml:space="preserve"> PAGEREF _Toc147756880 \h </w:instrText>
            </w:r>
            <w:r>
              <w:rPr>
                <w:noProof/>
                <w:webHidden/>
              </w:rPr>
            </w:r>
            <w:r>
              <w:rPr>
                <w:noProof/>
                <w:webHidden/>
              </w:rPr>
              <w:fldChar w:fldCharType="separate"/>
            </w:r>
            <w:r w:rsidR="007D0BE0">
              <w:rPr>
                <w:noProof/>
                <w:webHidden/>
              </w:rPr>
              <w:t>31</w:t>
            </w:r>
            <w:r>
              <w:rPr>
                <w:noProof/>
                <w:webHidden/>
              </w:rPr>
              <w:fldChar w:fldCharType="end"/>
            </w:r>
          </w:hyperlink>
        </w:p>
        <w:p w14:paraId="6017C886" w14:textId="2D46375D"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81" w:history="1">
            <w:r w:rsidRPr="0013495B">
              <w:rPr>
                <w:rStyle w:val="Hyperlink"/>
              </w:rPr>
              <w:t>What we do now</w:t>
            </w:r>
            <w:r>
              <w:rPr>
                <w:webHidden/>
              </w:rPr>
              <w:tab/>
            </w:r>
            <w:r>
              <w:rPr>
                <w:webHidden/>
              </w:rPr>
              <w:fldChar w:fldCharType="begin"/>
            </w:r>
            <w:r>
              <w:rPr>
                <w:webHidden/>
              </w:rPr>
              <w:instrText xml:space="preserve"> PAGEREF _Toc147756881 \h </w:instrText>
            </w:r>
            <w:r>
              <w:rPr>
                <w:webHidden/>
              </w:rPr>
            </w:r>
            <w:r>
              <w:rPr>
                <w:webHidden/>
              </w:rPr>
              <w:fldChar w:fldCharType="separate"/>
            </w:r>
            <w:r w:rsidR="007D0BE0">
              <w:rPr>
                <w:webHidden/>
              </w:rPr>
              <w:t>31</w:t>
            </w:r>
            <w:r>
              <w:rPr>
                <w:webHidden/>
              </w:rPr>
              <w:fldChar w:fldCharType="end"/>
            </w:r>
          </w:hyperlink>
        </w:p>
        <w:p w14:paraId="0B74988C" w14:textId="54A976E4"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82" w:history="1">
            <w:r w:rsidRPr="0013495B">
              <w:rPr>
                <w:rStyle w:val="Hyperlink"/>
              </w:rPr>
              <w:t>Our long-term plan</w:t>
            </w:r>
            <w:r>
              <w:rPr>
                <w:webHidden/>
              </w:rPr>
              <w:tab/>
            </w:r>
            <w:r>
              <w:rPr>
                <w:webHidden/>
              </w:rPr>
              <w:fldChar w:fldCharType="begin"/>
            </w:r>
            <w:r>
              <w:rPr>
                <w:webHidden/>
              </w:rPr>
              <w:instrText xml:space="preserve"> PAGEREF _Toc147756882 \h </w:instrText>
            </w:r>
            <w:r>
              <w:rPr>
                <w:webHidden/>
              </w:rPr>
            </w:r>
            <w:r>
              <w:rPr>
                <w:webHidden/>
              </w:rPr>
              <w:fldChar w:fldCharType="separate"/>
            </w:r>
            <w:r w:rsidR="007D0BE0">
              <w:rPr>
                <w:webHidden/>
              </w:rPr>
              <w:t>32</w:t>
            </w:r>
            <w:r>
              <w:rPr>
                <w:webHidden/>
              </w:rPr>
              <w:fldChar w:fldCharType="end"/>
            </w:r>
          </w:hyperlink>
        </w:p>
        <w:p w14:paraId="130CDA80" w14:textId="138E9C5A"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83" w:history="1">
            <w:r w:rsidRPr="0013495B">
              <w:rPr>
                <w:rStyle w:val="Hyperlink"/>
              </w:rPr>
              <w:t>The year ahead</w:t>
            </w:r>
            <w:r>
              <w:rPr>
                <w:webHidden/>
              </w:rPr>
              <w:tab/>
            </w:r>
            <w:r>
              <w:rPr>
                <w:webHidden/>
              </w:rPr>
              <w:fldChar w:fldCharType="begin"/>
            </w:r>
            <w:r>
              <w:rPr>
                <w:webHidden/>
              </w:rPr>
              <w:instrText xml:space="preserve"> PAGEREF _Toc147756883 \h </w:instrText>
            </w:r>
            <w:r>
              <w:rPr>
                <w:webHidden/>
              </w:rPr>
            </w:r>
            <w:r>
              <w:rPr>
                <w:webHidden/>
              </w:rPr>
              <w:fldChar w:fldCharType="separate"/>
            </w:r>
            <w:r w:rsidR="007D0BE0">
              <w:rPr>
                <w:webHidden/>
              </w:rPr>
              <w:t>33</w:t>
            </w:r>
            <w:r>
              <w:rPr>
                <w:webHidden/>
              </w:rPr>
              <w:fldChar w:fldCharType="end"/>
            </w:r>
          </w:hyperlink>
        </w:p>
        <w:p w14:paraId="6F271758" w14:textId="5D5A26FC"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84" w:history="1">
            <w:r w:rsidRPr="0013495B">
              <w:rPr>
                <w:rStyle w:val="Hyperlink"/>
                <w:noProof/>
              </w:rPr>
              <w:t>Waterway and catchment health</w:t>
            </w:r>
            <w:r>
              <w:rPr>
                <w:noProof/>
                <w:webHidden/>
              </w:rPr>
              <w:tab/>
            </w:r>
            <w:r>
              <w:rPr>
                <w:noProof/>
                <w:webHidden/>
              </w:rPr>
              <w:fldChar w:fldCharType="begin"/>
            </w:r>
            <w:r>
              <w:rPr>
                <w:noProof/>
                <w:webHidden/>
              </w:rPr>
              <w:instrText xml:space="preserve"> PAGEREF _Toc147756884 \h </w:instrText>
            </w:r>
            <w:r>
              <w:rPr>
                <w:noProof/>
                <w:webHidden/>
              </w:rPr>
            </w:r>
            <w:r>
              <w:rPr>
                <w:noProof/>
                <w:webHidden/>
              </w:rPr>
              <w:fldChar w:fldCharType="separate"/>
            </w:r>
            <w:r w:rsidR="007D0BE0">
              <w:rPr>
                <w:noProof/>
                <w:webHidden/>
              </w:rPr>
              <w:t>34</w:t>
            </w:r>
            <w:r>
              <w:rPr>
                <w:noProof/>
                <w:webHidden/>
              </w:rPr>
              <w:fldChar w:fldCharType="end"/>
            </w:r>
          </w:hyperlink>
        </w:p>
        <w:p w14:paraId="49B789AC" w14:textId="35D5ED4A"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85" w:history="1">
            <w:r w:rsidRPr="0013495B">
              <w:rPr>
                <w:rStyle w:val="Hyperlink"/>
              </w:rPr>
              <w:t>What we do now</w:t>
            </w:r>
            <w:r>
              <w:rPr>
                <w:webHidden/>
              </w:rPr>
              <w:tab/>
            </w:r>
            <w:r>
              <w:rPr>
                <w:webHidden/>
              </w:rPr>
              <w:fldChar w:fldCharType="begin"/>
            </w:r>
            <w:r>
              <w:rPr>
                <w:webHidden/>
              </w:rPr>
              <w:instrText xml:space="preserve"> PAGEREF _Toc147756885 \h </w:instrText>
            </w:r>
            <w:r>
              <w:rPr>
                <w:webHidden/>
              </w:rPr>
            </w:r>
            <w:r>
              <w:rPr>
                <w:webHidden/>
              </w:rPr>
              <w:fldChar w:fldCharType="separate"/>
            </w:r>
            <w:r w:rsidR="007D0BE0">
              <w:rPr>
                <w:webHidden/>
              </w:rPr>
              <w:t>34</w:t>
            </w:r>
            <w:r>
              <w:rPr>
                <w:webHidden/>
              </w:rPr>
              <w:fldChar w:fldCharType="end"/>
            </w:r>
          </w:hyperlink>
        </w:p>
        <w:p w14:paraId="21296B52" w14:textId="08091448"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86" w:history="1">
            <w:r w:rsidRPr="0013495B">
              <w:rPr>
                <w:rStyle w:val="Hyperlink"/>
              </w:rPr>
              <w:t>Our long-term plan</w:t>
            </w:r>
            <w:r>
              <w:rPr>
                <w:webHidden/>
              </w:rPr>
              <w:tab/>
            </w:r>
            <w:r>
              <w:rPr>
                <w:webHidden/>
              </w:rPr>
              <w:fldChar w:fldCharType="begin"/>
            </w:r>
            <w:r>
              <w:rPr>
                <w:webHidden/>
              </w:rPr>
              <w:instrText xml:space="preserve"> PAGEREF _Toc147756886 \h </w:instrText>
            </w:r>
            <w:r>
              <w:rPr>
                <w:webHidden/>
              </w:rPr>
            </w:r>
            <w:r>
              <w:rPr>
                <w:webHidden/>
              </w:rPr>
              <w:fldChar w:fldCharType="separate"/>
            </w:r>
            <w:r w:rsidR="007D0BE0">
              <w:rPr>
                <w:webHidden/>
              </w:rPr>
              <w:t>35</w:t>
            </w:r>
            <w:r>
              <w:rPr>
                <w:webHidden/>
              </w:rPr>
              <w:fldChar w:fldCharType="end"/>
            </w:r>
          </w:hyperlink>
        </w:p>
        <w:p w14:paraId="4D06E87A" w14:textId="5C0F4D51"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87" w:history="1">
            <w:r w:rsidRPr="0013495B">
              <w:rPr>
                <w:rStyle w:val="Hyperlink"/>
              </w:rPr>
              <w:t>The year ahead</w:t>
            </w:r>
            <w:r>
              <w:rPr>
                <w:webHidden/>
              </w:rPr>
              <w:tab/>
            </w:r>
            <w:r>
              <w:rPr>
                <w:webHidden/>
              </w:rPr>
              <w:fldChar w:fldCharType="begin"/>
            </w:r>
            <w:r>
              <w:rPr>
                <w:webHidden/>
              </w:rPr>
              <w:instrText xml:space="preserve"> PAGEREF _Toc147756887 \h </w:instrText>
            </w:r>
            <w:r>
              <w:rPr>
                <w:webHidden/>
              </w:rPr>
            </w:r>
            <w:r>
              <w:rPr>
                <w:webHidden/>
              </w:rPr>
              <w:fldChar w:fldCharType="separate"/>
            </w:r>
            <w:r w:rsidR="007D0BE0">
              <w:rPr>
                <w:webHidden/>
              </w:rPr>
              <w:t>35</w:t>
            </w:r>
            <w:r>
              <w:rPr>
                <w:webHidden/>
              </w:rPr>
              <w:fldChar w:fldCharType="end"/>
            </w:r>
          </w:hyperlink>
        </w:p>
        <w:p w14:paraId="1D11794C" w14:textId="33EAEE75"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88" w:history="1">
            <w:r w:rsidRPr="0013495B">
              <w:rPr>
                <w:rStyle w:val="Hyperlink"/>
                <w:noProof/>
              </w:rPr>
              <w:t>Water for agriculture</w:t>
            </w:r>
            <w:r>
              <w:rPr>
                <w:noProof/>
                <w:webHidden/>
              </w:rPr>
              <w:tab/>
            </w:r>
            <w:r>
              <w:rPr>
                <w:noProof/>
                <w:webHidden/>
              </w:rPr>
              <w:fldChar w:fldCharType="begin"/>
            </w:r>
            <w:r>
              <w:rPr>
                <w:noProof/>
                <w:webHidden/>
              </w:rPr>
              <w:instrText xml:space="preserve"> PAGEREF _Toc147756888 \h </w:instrText>
            </w:r>
            <w:r>
              <w:rPr>
                <w:noProof/>
                <w:webHidden/>
              </w:rPr>
            </w:r>
            <w:r>
              <w:rPr>
                <w:noProof/>
                <w:webHidden/>
              </w:rPr>
              <w:fldChar w:fldCharType="separate"/>
            </w:r>
            <w:r w:rsidR="007D0BE0">
              <w:rPr>
                <w:noProof/>
                <w:webHidden/>
              </w:rPr>
              <w:t>36</w:t>
            </w:r>
            <w:r>
              <w:rPr>
                <w:noProof/>
                <w:webHidden/>
              </w:rPr>
              <w:fldChar w:fldCharType="end"/>
            </w:r>
          </w:hyperlink>
        </w:p>
        <w:p w14:paraId="42671E71" w14:textId="3C1D1932"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89" w:history="1">
            <w:r w:rsidRPr="0013495B">
              <w:rPr>
                <w:rStyle w:val="Hyperlink"/>
                <w:noProof/>
              </w:rPr>
              <w:t>Recognising recreational values</w:t>
            </w:r>
            <w:r>
              <w:rPr>
                <w:noProof/>
                <w:webHidden/>
              </w:rPr>
              <w:tab/>
            </w:r>
            <w:r>
              <w:rPr>
                <w:noProof/>
                <w:webHidden/>
              </w:rPr>
              <w:fldChar w:fldCharType="begin"/>
            </w:r>
            <w:r>
              <w:rPr>
                <w:noProof/>
                <w:webHidden/>
              </w:rPr>
              <w:instrText xml:space="preserve"> PAGEREF _Toc147756889 \h </w:instrText>
            </w:r>
            <w:r>
              <w:rPr>
                <w:noProof/>
                <w:webHidden/>
              </w:rPr>
            </w:r>
            <w:r>
              <w:rPr>
                <w:noProof/>
                <w:webHidden/>
              </w:rPr>
              <w:fldChar w:fldCharType="separate"/>
            </w:r>
            <w:r w:rsidR="007D0BE0">
              <w:rPr>
                <w:noProof/>
                <w:webHidden/>
              </w:rPr>
              <w:t>38</w:t>
            </w:r>
            <w:r>
              <w:rPr>
                <w:noProof/>
                <w:webHidden/>
              </w:rPr>
              <w:fldChar w:fldCharType="end"/>
            </w:r>
          </w:hyperlink>
        </w:p>
        <w:p w14:paraId="0907B9FC" w14:textId="4CF3C3D8"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0" w:history="1">
            <w:r w:rsidRPr="0013495B">
              <w:rPr>
                <w:rStyle w:val="Hyperlink"/>
              </w:rPr>
              <w:t>What we do now</w:t>
            </w:r>
            <w:r>
              <w:rPr>
                <w:webHidden/>
              </w:rPr>
              <w:tab/>
            </w:r>
            <w:r>
              <w:rPr>
                <w:webHidden/>
              </w:rPr>
              <w:fldChar w:fldCharType="begin"/>
            </w:r>
            <w:r>
              <w:rPr>
                <w:webHidden/>
              </w:rPr>
              <w:instrText xml:space="preserve"> PAGEREF _Toc147756890 \h </w:instrText>
            </w:r>
            <w:r>
              <w:rPr>
                <w:webHidden/>
              </w:rPr>
            </w:r>
            <w:r>
              <w:rPr>
                <w:webHidden/>
              </w:rPr>
              <w:fldChar w:fldCharType="separate"/>
            </w:r>
            <w:r w:rsidR="007D0BE0">
              <w:rPr>
                <w:webHidden/>
              </w:rPr>
              <w:t>38</w:t>
            </w:r>
            <w:r>
              <w:rPr>
                <w:webHidden/>
              </w:rPr>
              <w:fldChar w:fldCharType="end"/>
            </w:r>
          </w:hyperlink>
        </w:p>
        <w:p w14:paraId="08769F5D" w14:textId="105F194E"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1" w:history="1">
            <w:r w:rsidRPr="0013495B">
              <w:rPr>
                <w:rStyle w:val="Hyperlink"/>
              </w:rPr>
              <w:t>Our long-term plan</w:t>
            </w:r>
            <w:r>
              <w:rPr>
                <w:webHidden/>
              </w:rPr>
              <w:tab/>
            </w:r>
            <w:r>
              <w:rPr>
                <w:webHidden/>
              </w:rPr>
              <w:fldChar w:fldCharType="begin"/>
            </w:r>
            <w:r>
              <w:rPr>
                <w:webHidden/>
              </w:rPr>
              <w:instrText xml:space="preserve"> PAGEREF _Toc147756891 \h </w:instrText>
            </w:r>
            <w:r>
              <w:rPr>
                <w:webHidden/>
              </w:rPr>
            </w:r>
            <w:r>
              <w:rPr>
                <w:webHidden/>
              </w:rPr>
              <w:fldChar w:fldCharType="separate"/>
            </w:r>
            <w:r w:rsidR="007D0BE0">
              <w:rPr>
                <w:webHidden/>
              </w:rPr>
              <w:t>39</w:t>
            </w:r>
            <w:r>
              <w:rPr>
                <w:webHidden/>
              </w:rPr>
              <w:fldChar w:fldCharType="end"/>
            </w:r>
          </w:hyperlink>
        </w:p>
        <w:p w14:paraId="49CC69B5" w14:textId="4A664363"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2" w:history="1">
            <w:r w:rsidRPr="0013495B">
              <w:rPr>
                <w:rStyle w:val="Hyperlink"/>
              </w:rPr>
              <w:t>The year ahead</w:t>
            </w:r>
            <w:r>
              <w:rPr>
                <w:webHidden/>
              </w:rPr>
              <w:tab/>
            </w:r>
            <w:r>
              <w:rPr>
                <w:webHidden/>
              </w:rPr>
              <w:fldChar w:fldCharType="begin"/>
            </w:r>
            <w:r>
              <w:rPr>
                <w:webHidden/>
              </w:rPr>
              <w:instrText xml:space="preserve"> PAGEREF _Toc147756892 \h </w:instrText>
            </w:r>
            <w:r>
              <w:rPr>
                <w:webHidden/>
              </w:rPr>
            </w:r>
            <w:r>
              <w:rPr>
                <w:webHidden/>
              </w:rPr>
              <w:fldChar w:fldCharType="separate"/>
            </w:r>
            <w:r w:rsidR="007D0BE0">
              <w:rPr>
                <w:webHidden/>
              </w:rPr>
              <w:t>40</w:t>
            </w:r>
            <w:r>
              <w:rPr>
                <w:webHidden/>
              </w:rPr>
              <w:fldChar w:fldCharType="end"/>
            </w:r>
          </w:hyperlink>
        </w:p>
        <w:p w14:paraId="42002410" w14:textId="77E753A4"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93" w:history="1">
            <w:r w:rsidRPr="0013495B">
              <w:rPr>
                <w:rStyle w:val="Hyperlink"/>
                <w:noProof/>
              </w:rPr>
              <w:t>Leadership and culture</w:t>
            </w:r>
            <w:r>
              <w:rPr>
                <w:noProof/>
                <w:webHidden/>
              </w:rPr>
              <w:tab/>
            </w:r>
            <w:r>
              <w:rPr>
                <w:noProof/>
                <w:webHidden/>
              </w:rPr>
              <w:fldChar w:fldCharType="begin"/>
            </w:r>
            <w:r>
              <w:rPr>
                <w:noProof/>
                <w:webHidden/>
              </w:rPr>
              <w:instrText xml:space="preserve"> PAGEREF _Toc147756893 \h </w:instrText>
            </w:r>
            <w:r>
              <w:rPr>
                <w:noProof/>
                <w:webHidden/>
              </w:rPr>
            </w:r>
            <w:r>
              <w:rPr>
                <w:noProof/>
                <w:webHidden/>
              </w:rPr>
              <w:fldChar w:fldCharType="separate"/>
            </w:r>
            <w:r w:rsidR="007D0BE0">
              <w:rPr>
                <w:noProof/>
                <w:webHidden/>
              </w:rPr>
              <w:t>40</w:t>
            </w:r>
            <w:r>
              <w:rPr>
                <w:noProof/>
                <w:webHidden/>
              </w:rPr>
              <w:fldChar w:fldCharType="end"/>
            </w:r>
          </w:hyperlink>
        </w:p>
        <w:p w14:paraId="1A745574" w14:textId="65569EBB"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4" w:history="1">
            <w:r w:rsidRPr="0013495B">
              <w:rPr>
                <w:rStyle w:val="Hyperlink"/>
              </w:rPr>
              <w:t>What we do now</w:t>
            </w:r>
            <w:r>
              <w:rPr>
                <w:webHidden/>
              </w:rPr>
              <w:tab/>
            </w:r>
            <w:r>
              <w:rPr>
                <w:webHidden/>
              </w:rPr>
              <w:fldChar w:fldCharType="begin"/>
            </w:r>
            <w:r>
              <w:rPr>
                <w:webHidden/>
              </w:rPr>
              <w:instrText xml:space="preserve"> PAGEREF _Toc147756894 \h </w:instrText>
            </w:r>
            <w:r>
              <w:rPr>
                <w:webHidden/>
              </w:rPr>
            </w:r>
            <w:r>
              <w:rPr>
                <w:webHidden/>
              </w:rPr>
              <w:fldChar w:fldCharType="separate"/>
            </w:r>
            <w:r w:rsidR="007D0BE0">
              <w:rPr>
                <w:webHidden/>
              </w:rPr>
              <w:t>41</w:t>
            </w:r>
            <w:r>
              <w:rPr>
                <w:webHidden/>
              </w:rPr>
              <w:fldChar w:fldCharType="end"/>
            </w:r>
          </w:hyperlink>
        </w:p>
        <w:p w14:paraId="7BFEFC3C" w14:textId="705DF335"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5" w:history="1">
            <w:r w:rsidRPr="0013495B">
              <w:rPr>
                <w:rStyle w:val="Hyperlink"/>
              </w:rPr>
              <w:t>Our long-term plan</w:t>
            </w:r>
            <w:r>
              <w:rPr>
                <w:webHidden/>
              </w:rPr>
              <w:tab/>
            </w:r>
            <w:r>
              <w:rPr>
                <w:webHidden/>
              </w:rPr>
              <w:fldChar w:fldCharType="begin"/>
            </w:r>
            <w:r>
              <w:rPr>
                <w:webHidden/>
              </w:rPr>
              <w:instrText xml:space="preserve"> PAGEREF _Toc147756895 \h </w:instrText>
            </w:r>
            <w:r>
              <w:rPr>
                <w:webHidden/>
              </w:rPr>
            </w:r>
            <w:r>
              <w:rPr>
                <w:webHidden/>
              </w:rPr>
              <w:fldChar w:fldCharType="separate"/>
            </w:r>
            <w:r w:rsidR="007D0BE0">
              <w:rPr>
                <w:webHidden/>
              </w:rPr>
              <w:t>42</w:t>
            </w:r>
            <w:r>
              <w:rPr>
                <w:webHidden/>
              </w:rPr>
              <w:fldChar w:fldCharType="end"/>
            </w:r>
          </w:hyperlink>
        </w:p>
        <w:p w14:paraId="001F7360" w14:textId="71292C8F"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6" w:history="1">
            <w:r w:rsidRPr="0013495B">
              <w:rPr>
                <w:rStyle w:val="Hyperlink"/>
              </w:rPr>
              <w:t>The year ahead</w:t>
            </w:r>
            <w:r>
              <w:rPr>
                <w:webHidden/>
              </w:rPr>
              <w:tab/>
            </w:r>
            <w:r>
              <w:rPr>
                <w:webHidden/>
              </w:rPr>
              <w:fldChar w:fldCharType="begin"/>
            </w:r>
            <w:r>
              <w:rPr>
                <w:webHidden/>
              </w:rPr>
              <w:instrText xml:space="preserve"> PAGEREF _Toc147756896 \h </w:instrText>
            </w:r>
            <w:r>
              <w:rPr>
                <w:webHidden/>
              </w:rPr>
            </w:r>
            <w:r>
              <w:rPr>
                <w:webHidden/>
              </w:rPr>
              <w:fldChar w:fldCharType="separate"/>
            </w:r>
            <w:r w:rsidR="007D0BE0">
              <w:rPr>
                <w:webHidden/>
              </w:rPr>
              <w:t>42</w:t>
            </w:r>
            <w:r>
              <w:rPr>
                <w:webHidden/>
              </w:rPr>
              <w:fldChar w:fldCharType="end"/>
            </w:r>
          </w:hyperlink>
        </w:p>
        <w:p w14:paraId="5199DACD" w14:textId="2284F0DA"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897" w:history="1">
            <w:r w:rsidRPr="0013495B">
              <w:rPr>
                <w:rStyle w:val="Hyperlink"/>
                <w:noProof/>
              </w:rPr>
              <w:t>Performance and financial sustainability</w:t>
            </w:r>
            <w:r>
              <w:rPr>
                <w:noProof/>
                <w:webHidden/>
              </w:rPr>
              <w:tab/>
            </w:r>
            <w:r>
              <w:rPr>
                <w:noProof/>
                <w:webHidden/>
              </w:rPr>
              <w:fldChar w:fldCharType="begin"/>
            </w:r>
            <w:r>
              <w:rPr>
                <w:noProof/>
                <w:webHidden/>
              </w:rPr>
              <w:instrText xml:space="preserve"> PAGEREF _Toc147756897 \h </w:instrText>
            </w:r>
            <w:r>
              <w:rPr>
                <w:noProof/>
                <w:webHidden/>
              </w:rPr>
            </w:r>
            <w:r>
              <w:rPr>
                <w:noProof/>
                <w:webHidden/>
              </w:rPr>
              <w:fldChar w:fldCharType="separate"/>
            </w:r>
            <w:r w:rsidR="007D0BE0">
              <w:rPr>
                <w:noProof/>
                <w:webHidden/>
              </w:rPr>
              <w:t>42</w:t>
            </w:r>
            <w:r>
              <w:rPr>
                <w:noProof/>
                <w:webHidden/>
              </w:rPr>
              <w:fldChar w:fldCharType="end"/>
            </w:r>
          </w:hyperlink>
        </w:p>
        <w:p w14:paraId="166BDBC5" w14:textId="05F5505C"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898" w:history="1">
            <w:r w:rsidRPr="0013495B">
              <w:rPr>
                <w:rStyle w:val="Hyperlink"/>
              </w:rPr>
              <w:t>The year ahead</w:t>
            </w:r>
            <w:r>
              <w:rPr>
                <w:webHidden/>
              </w:rPr>
              <w:tab/>
            </w:r>
            <w:r>
              <w:rPr>
                <w:webHidden/>
              </w:rPr>
              <w:fldChar w:fldCharType="begin"/>
            </w:r>
            <w:r>
              <w:rPr>
                <w:webHidden/>
              </w:rPr>
              <w:instrText xml:space="preserve"> PAGEREF _Toc147756898 \h </w:instrText>
            </w:r>
            <w:r>
              <w:rPr>
                <w:webHidden/>
              </w:rPr>
            </w:r>
            <w:r>
              <w:rPr>
                <w:webHidden/>
              </w:rPr>
              <w:fldChar w:fldCharType="separate"/>
            </w:r>
            <w:r w:rsidR="007D0BE0">
              <w:rPr>
                <w:webHidden/>
              </w:rPr>
              <w:t>44</w:t>
            </w:r>
            <w:r>
              <w:rPr>
                <w:webHidden/>
              </w:rPr>
              <w:fldChar w:fldCharType="end"/>
            </w:r>
          </w:hyperlink>
        </w:p>
        <w:p w14:paraId="42DAC8A4" w14:textId="5AD11183" w:rsidR="00400086" w:rsidRDefault="00400086">
          <w:pPr>
            <w:pStyle w:val="TOC1"/>
            <w:rPr>
              <w:rFonts w:asciiTheme="minorHAnsi" w:eastAsiaTheme="minorEastAsia" w:hAnsiTheme="minorHAnsi" w:cstheme="minorBidi"/>
              <w:kern w:val="2"/>
              <w:sz w:val="22"/>
              <w:szCs w:val="22"/>
              <w14:ligatures w14:val="standardContextual"/>
            </w:rPr>
          </w:pPr>
          <w:hyperlink w:anchor="_Toc147756899" w:history="1">
            <w:r w:rsidRPr="0013495B">
              <w:rPr>
                <w:rStyle w:val="Hyperlink"/>
              </w:rPr>
              <w:t>Our Financials</w:t>
            </w:r>
            <w:r>
              <w:rPr>
                <w:webHidden/>
              </w:rPr>
              <w:tab/>
            </w:r>
            <w:r>
              <w:rPr>
                <w:webHidden/>
              </w:rPr>
              <w:fldChar w:fldCharType="begin"/>
            </w:r>
            <w:r>
              <w:rPr>
                <w:webHidden/>
              </w:rPr>
              <w:instrText xml:space="preserve"> PAGEREF _Toc147756899 \h </w:instrText>
            </w:r>
            <w:r>
              <w:rPr>
                <w:webHidden/>
              </w:rPr>
            </w:r>
            <w:r>
              <w:rPr>
                <w:webHidden/>
              </w:rPr>
              <w:fldChar w:fldCharType="separate"/>
            </w:r>
            <w:r w:rsidR="007D0BE0">
              <w:rPr>
                <w:webHidden/>
              </w:rPr>
              <w:t>45</w:t>
            </w:r>
            <w:r>
              <w:rPr>
                <w:webHidden/>
              </w:rPr>
              <w:fldChar w:fldCharType="end"/>
            </w:r>
          </w:hyperlink>
        </w:p>
        <w:p w14:paraId="5E501EA2" w14:textId="1FFBE8D5"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0" w:history="1">
            <w:r w:rsidRPr="0013495B">
              <w:rPr>
                <w:rStyle w:val="Hyperlink"/>
                <w:noProof/>
              </w:rPr>
              <w:t>Overview</w:t>
            </w:r>
            <w:r>
              <w:rPr>
                <w:noProof/>
                <w:webHidden/>
              </w:rPr>
              <w:tab/>
            </w:r>
            <w:r>
              <w:rPr>
                <w:noProof/>
                <w:webHidden/>
              </w:rPr>
              <w:fldChar w:fldCharType="begin"/>
            </w:r>
            <w:r>
              <w:rPr>
                <w:noProof/>
                <w:webHidden/>
              </w:rPr>
              <w:instrText xml:space="preserve"> PAGEREF _Toc147756900 \h </w:instrText>
            </w:r>
            <w:r>
              <w:rPr>
                <w:noProof/>
                <w:webHidden/>
              </w:rPr>
            </w:r>
            <w:r>
              <w:rPr>
                <w:noProof/>
                <w:webHidden/>
              </w:rPr>
              <w:fldChar w:fldCharType="separate"/>
            </w:r>
            <w:r w:rsidR="007D0BE0">
              <w:rPr>
                <w:noProof/>
                <w:webHidden/>
              </w:rPr>
              <w:t>45</w:t>
            </w:r>
            <w:r>
              <w:rPr>
                <w:noProof/>
                <w:webHidden/>
              </w:rPr>
              <w:fldChar w:fldCharType="end"/>
            </w:r>
          </w:hyperlink>
        </w:p>
        <w:p w14:paraId="42B40BA3" w14:textId="4AF079D2"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1" w:history="1">
            <w:r w:rsidRPr="0013495B">
              <w:rPr>
                <w:rStyle w:val="Hyperlink"/>
                <w:noProof/>
              </w:rPr>
              <w:t>Revenue</w:t>
            </w:r>
            <w:r>
              <w:rPr>
                <w:noProof/>
                <w:webHidden/>
              </w:rPr>
              <w:tab/>
            </w:r>
            <w:r>
              <w:rPr>
                <w:noProof/>
                <w:webHidden/>
              </w:rPr>
              <w:fldChar w:fldCharType="begin"/>
            </w:r>
            <w:r>
              <w:rPr>
                <w:noProof/>
                <w:webHidden/>
              </w:rPr>
              <w:instrText xml:space="preserve"> PAGEREF _Toc147756901 \h </w:instrText>
            </w:r>
            <w:r>
              <w:rPr>
                <w:noProof/>
                <w:webHidden/>
              </w:rPr>
            </w:r>
            <w:r>
              <w:rPr>
                <w:noProof/>
                <w:webHidden/>
              </w:rPr>
              <w:fldChar w:fldCharType="separate"/>
            </w:r>
            <w:r w:rsidR="007D0BE0">
              <w:rPr>
                <w:noProof/>
                <w:webHidden/>
              </w:rPr>
              <w:t>46</w:t>
            </w:r>
            <w:r>
              <w:rPr>
                <w:noProof/>
                <w:webHidden/>
              </w:rPr>
              <w:fldChar w:fldCharType="end"/>
            </w:r>
          </w:hyperlink>
        </w:p>
        <w:p w14:paraId="102F3D71" w14:textId="389D8A94"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2" w:history="1">
            <w:r w:rsidRPr="0013495B">
              <w:rPr>
                <w:rStyle w:val="Hyperlink"/>
                <w:noProof/>
              </w:rPr>
              <w:t>Operating Expenditure</w:t>
            </w:r>
            <w:r>
              <w:rPr>
                <w:noProof/>
                <w:webHidden/>
              </w:rPr>
              <w:tab/>
            </w:r>
            <w:r>
              <w:rPr>
                <w:noProof/>
                <w:webHidden/>
              </w:rPr>
              <w:fldChar w:fldCharType="begin"/>
            </w:r>
            <w:r>
              <w:rPr>
                <w:noProof/>
                <w:webHidden/>
              </w:rPr>
              <w:instrText xml:space="preserve"> PAGEREF _Toc147756902 \h </w:instrText>
            </w:r>
            <w:r>
              <w:rPr>
                <w:noProof/>
                <w:webHidden/>
              </w:rPr>
            </w:r>
            <w:r>
              <w:rPr>
                <w:noProof/>
                <w:webHidden/>
              </w:rPr>
              <w:fldChar w:fldCharType="separate"/>
            </w:r>
            <w:r w:rsidR="007D0BE0">
              <w:rPr>
                <w:noProof/>
                <w:webHidden/>
              </w:rPr>
              <w:t>48</w:t>
            </w:r>
            <w:r>
              <w:rPr>
                <w:noProof/>
                <w:webHidden/>
              </w:rPr>
              <w:fldChar w:fldCharType="end"/>
            </w:r>
          </w:hyperlink>
        </w:p>
        <w:p w14:paraId="7F54C7A0" w14:textId="6294CFD1"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3" w:history="1">
            <w:r w:rsidRPr="0013495B">
              <w:rPr>
                <w:rStyle w:val="Hyperlink"/>
                <w:noProof/>
              </w:rPr>
              <w:t>Capital Expenditure</w:t>
            </w:r>
            <w:r>
              <w:rPr>
                <w:noProof/>
                <w:webHidden/>
              </w:rPr>
              <w:tab/>
            </w:r>
            <w:r>
              <w:rPr>
                <w:noProof/>
                <w:webHidden/>
              </w:rPr>
              <w:fldChar w:fldCharType="begin"/>
            </w:r>
            <w:r>
              <w:rPr>
                <w:noProof/>
                <w:webHidden/>
              </w:rPr>
              <w:instrText xml:space="preserve"> PAGEREF _Toc147756903 \h </w:instrText>
            </w:r>
            <w:r>
              <w:rPr>
                <w:noProof/>
                <w:webHidden/>
              </w:rPr>
            </w:r>
            <w:r>
              <w:rPr>
                <w:noProof/>
                <w:webHidden/>
              </w:rPr>
              <w:fldChar w:fldCharType="separate"/>
            </w:r>
            <w:r w:rsidR="007D0BE0">
              <w:rPr>
                <w:noProof/>
                <w:webHidden/>
              </w:rPr>
              <w:t>49</w:t>
            </w:r>
            <w:r>
              <w:rPr>
                <w:noProof/>
                <w:webHidden/>
              </w:rPr>
              <w:fldChar w:fldCharType="end"/>
            </w:r>
          </w:hyperlink>
        </w:p>
        <w:p w14:paraId="727B5270" w14:textId="3D60F574"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4" w:history="1">
            <w:r w:rsidRPr="0013495B">
              <w:rPr>
                <w:rStyle w:val="Hyperlink"/>
                <w:noProof/>
              </w:rPr>
              <w:t>Borrowings</w:t>
            </w:r>
            <w:r>
              <w:rPr>
                <w:noProof/>
                <w:webHidden/>
              </w:rPr>
              <w:tab/>
            </w:r>
            <w:r>
              <w:rPr>
                <w:noProof/>
                <w:webHidden/>
              </w:rPr>
              <w:fldChar w:fldCharType="begin"/>
            </w:r>
            <w:r>
              <w:rPr>
                <w:noProof/>
                <w:webHidden/>
              </w:rPr>
              <w:instrText xml:space="preserve"> PAGEREF _Toc147756904 \h </w:instrText>
            </w:r>
            <w:r>
              <w:rPr>
                <w:noProof/>
                <w:webHidden/>
              </w:rPr>
            </w:r>
            <w:r>
              <w:rPr>
                <w:noProof/>
                <w:webHidden/>
              </w:rPr>
              <w:fldChar w:fldCharType="separate"/>
            </w:r>
            <w:r w:rsidR="007D0BE0">
              <w:rPr>
                <w:noProof/>
                <w:webHidden/>
              </w:rPr>
              <w:t>49</w:t>
            </w:r>
            <w:r>
              <w:rPr>
                <w:noProof/>
                <w:webHidden/>
              </w:rPr>
              <w:fldChar w:fldCharType="end"/>
            </w:r>
          </w:hyperlink>
        </w:p>
        <w:p w14:paraId="001682B6" w14:textId="01D4BEAA"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5" w:history="1">
            <w:r w:rsidRPr="0013495B">
              <w:rPr>
                <w:rStyle w:val="Hyperlink"/>
                <w:noProof/>
              </w:rPr>
              <w:t>Borrowing Costs</w:t>
            </w:r>
            <w:r>
              <w:rPr>
                <w:noProof/>
                <w:webHidden/>
              </w:rPr>
              <w:tab/>
            </w:r>
            <w:r>
              <w:rPr>
                <w:noProof/>
                <w:webHidden/>
              </w:rPr>
              <w:fldChar w:fldCharType="begin"/>
            </w:r>
            <w:r>
              <w:rPr>
                <w:noProof/>
                <w:webHidden/>
              </w:rPr>
              <w:instrText xml:space="preserve"> PAGEREF _Toc147756905 \h </w:instrText>
            </w:r>
            <w:r>
              <w:rPr>
                <w:noProof/>
                <w:webHidden/>
              </w:rPr>
            </w:r>
            <w:r>
              <w:rPr>
                <w:noProof/>
                <w:webHidden/>
              </w:rPr>
              <w:fldChar w:fldCharType="separate"/>
            </w:r>
            <w:r w:rsidR="007D0BE0">
              <w:rPr>
                <w:noProof/>
                <w:webHidden/>
              </w:rPr>
              <w:t>50</w:t>
            </w:r>
            <w:r>
              <w:rPr>
                <w:noProof/>
                <w:webHidden/>
              </w:rPr>
              <w:fldChar w:fldCharType="end"/>
            </w:r>
          </w:hyperlink>
        </w:p>
        <w:p w14:paraId="7AA12282" w14:textId="672A7CDD"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6" w:history="1">
            <w:r w:rsidRPr="0013495B">
              <w:rPr>
                <w:rStyle w:val="Hyperlink"/>
                <w:noProof/>
              </w:rPr>
              <w:t>Gearing</w:t>
            </w:r>
            <w:r>
              <w:rPr>
                <w:noProof/>
                <w:webHidden/>
              </w:rPr>
              <w:tab/>
            </w:r>
            <w:r>
              <w:rPr>
                <w:noProof/>
                <w:webHidden/>
              </w:rPr>
              <w:fldChar w:fldCharType="begin"/>
            </w:r>
            <w:r>
              <w:rPr>
                <w:noProof/>
                <w:webHidden/>
              </w:rPr>
              <w:instrText xml:space="preserve"> PAGEREF _Toc147756906 \h </w:instrText>
            </w:r>
            <w:r>
              <w:rPr>
                <w:noProof/>
                <w:webHidden/>
              </w:rPr>
            </w:r>
            <w:r>
              <w:rPr>
                <w:noProof/>
                <w:webHidden/>
              </w:rPr>
              <w:fldChar w:fldCharType="separate"/>
            </w:r>
            <w:r w:rsidR="007D0BE0">
              <w:rPr>
                <w:noProof/>
                <w:webHidden/>
              </w:rPr>
              <w:t>50</w:t>
            </w:r>
            <w:r>
              <w:rPr>
                <w:noProof/>
                <w:webHidden/>
              </w:rPr>
              <w:fldChar w:fldCharType="end"/>
            </w:r>
          </w:hyperlink>
        </w:p>
        <w:p w14:paraId="12B5BD62" w14:textId="31509C38"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7" w:history="1">
            <w:r w:rsidRPr="0013495B">
              <w:rPr>
                <w:rStyle w:val="Hyperlink"/>
                <w:noProof/>
              </w:rPr>
              <w:t>Payments to Government</w:t>
            </w:r>
            <w:r>
              <w:rPr>
                <w:noProof/>
                <w:webHidden/>
              </w:rPr>
              <w:tab/>
            </w:r>
            <w:r>
              <w:rPr>
                <w:noProof/>
                <w:webHidden/>
              </w:rPr>
              <w:fldChar w:fldCharType="begin"/>
            </w:r>
            <w:r>
              <w:rPr>
                <w:noProof/>
                <w:webHidden/>
              </w:rPr>
              <w:instrText xml:space="preserve"> PAGEREF _Toc147756907 \h </w:instrText>
            </w:r>
            <w:r>
              <w:rPr>
                <w:noProof/>
                <w:webHidden/>
              </w:rPr>
            </w:r>
            <w:r>
              <w:rPr>
                <w:noProof/>
                <w:webHidden/>
              </w:rPr>
              <w:fldChar w:fldCharType="separate"/>
            </w:r>
            <w:r w:rsidR="007D0BE0">
              <w:rPr>
                <w:noProof/>
                <w:webHidden/>
              </w:rPr>
              <w:t>50</w:t>
            </w:r>
            <w:r>
              <w:rPr>
                <w:noProof/>
                <w:webHidden/>
              </w:rPr>
              <w:fldChar w:fldCharType="end"/>
            </w:r>
          </w:hyperlink>
        </w:p>
        <w:p w14:paraId="612F05EE" w14:textId="35766147" w:rsidR="00400086" w:rsidRDefault="00400086">
          <w:pPr>
            <w:pStyle w:val="TOC1"/>
            <w:rPr>
              <w:rFonts w:asciiTheme="minorHAnsi" w:eastAsiaTheme="minorEastAsia" w:hAnsiTheme="minorHAnsi" w:cstheme="minorBidi"/>
              <w:kern w:val="2"/>
              <w:sz w:val="22"/>
              <w:szCs w:val="22"/>
              <w14:ligatures w14:val="standardContextual"/>
            </w:rPr>
          </w:pPr>
          <w:hyperlink w:anchor="_Toc147756908" w:history="1">
            <w:r w:rsidRPr="0013495B">
              <w:rPr>
                <w:rStyle w:val="Hyperlink"/>
              </w:rPr>
              <w:t>Appendices</w:t>
            </w:r>
            <w:r>
              <w:rPr>
                <w:webHidden/>
              </w:rPr>
              <w:tab/>
            </w:r>
            <w:r>
              <w:rPr>
                <w:webHidden/>
              </w:rPr>
              <w:fldChar w:fldCharType="begin"/>
            </w:r>
            <w:r>
              <w:rPr>
                <w:webHidden/>
              </w:rPr>
              <w:instrText xml:space="preserve"> PAGEREF _Toc147756908 \h </w:instrText>
            </w:r>
            <w:r>
              <w:rPr>
                <w:webHidden/>
              </w:rPr>
            </w:r>
            <w:r>
              <w:rPr>
                <w:webHidden/>
              </w:rPr>
              <w:fldChar w:fldCharType="separate"/>
            </w:r>
            <w:r w:rsidR="007D0BE0">
              <w:rPr>
                <w:webHidden/>
              </w:rPr>
              <w:t>52</w:t>
            </w:r>
            <w:r>
              <w:rPr>
                <w:webHidden/>
              </w:rPr>
              <w:fldChar w:fldCharType="end"/>
            </w:r>
          </w:hyperlink>
        </w:p>
        <w:p w14:paraId="6403778A" w14:textId="2BE7C040"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09" w:history="1">
            <w:r w:rsidRPr="0013495B">
              <w:rPr>
                <w:rStyle w:val="Hyperlink"/>
                <w:noProof/>
              </w:rPr>
              <w:t>Appendix A – Strategies, Drivers and Obligations</w:t>
            </w:r>
            <w:r>
              <w:rPr>
                <w:noProof/>
                <w:webHidden/>
              </w:rPr>
              <w:tab/>
            </w:r>
            <w:r>
              <w:rPr>
                <w:noProof/>
                <w:webHidden/>
              </w:rPr>
              <w:fldChar w:fldCharType="begin"/>
            </w:r>
            <w:r>
              <w:rPr>
                <w:noProof/>
                <w:webHidden/>
              </w:rPr>
              <w:instrText xml:space="preserve"> PAGEREF _Toc147756909 \h </w:instrText>
            </w:r>
            <w:r>
              <w:rPr>
                <w:noProof/>
                <w:webHidden/>
              </w:rPr>
            </w:r>
            <w:r>
              <w:rPr>
                <w:noProof/>
                <w:webHidden/>
              </w:rPr>
              <w:fldChar w:fldCharType="separate"/>
            </w:r>
            <w:r w:rsidR="007D0BE0">
              <w:rPr>
                <w:noProof/>
                <w:webHidden/>
              </w:rPr>
              <w:t>52</w:t>
            </w:r>
            <w:r>
              <w:rPr>
                <w:noProof/>
                <w:webHidden/>
              </w:rPr>
              <w:fldChar w:fldCharType="end"/>
            </w:r>
          </w:hyperlink>
        </w:p>
        <w:p w14:paraId="740DE18A" w14:textId="18E6CEB4"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910" w:history="1">
            <w:r w:rsidRPr="0013495B">
              <w:rPr>
                <w:rStyle w:val="Hyperlink"/>
              </w:rPr>
              <w:t>Water Supply</w:t>
            </w:r>
            <w:r>
              <w:rPr>
                <w:webHidden/>
              </w:rPr>
              <w:tab/>
            </w:r>
            <w:r>
              <w:rPr>
                <w:webHidden/>
              </w:rPr>
              <w:fldChar w:fldCharType="begin"/>
            </w:r>
            <w:r>
              <w:rPr>
                <w:webHidden/>
              </w:rPr>
              <w:instrText xml:space="preserve"> PAGEREF _Toc147756910 \h </w:instrText>
            </w:r>
            <w:r>
              <w:rPr>
                <w:webHidden/>
              </w:rPr>
            </w:r>
            <w:r>
              <w:rPr>
                <w:webHidden/>
              </w:rPr>
              <w:fldChar w:fldCharType="separate"/>
            </w:r>
            <w:r w:rsidR="007D0BE0">
              <w:rPr>
                <w:webHidden/>
              </w:rPr>
              <w:t>52</w:t>
            </w:r>
            <w:r>
              <w:rPr>
                <w:webHidden/>
              </w:rPr>
              <w:fldChar w:fldCharType="end"/>
            </w:r>
          </w:hyperlink>
        </w:p>
        <w:p w14:paraId="5392675D" w14:textId="01BDCCB4"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911" w:history="1">
            <w:r w:rsidRPr="0013495B">
              <w:rPr>
                <w:rStyle w:val="Hyperlink"/>
              </w:rPr>
              <w:t>Sewerage Services</w:t>
            </w:r>
            <w:r>
              <w:rPr>
                <w:webHidden/>
              </w:rPr>
              <w:tab/>
            </w:r>
            <w:r>
              <w:rPr>
                <w:webHidden/>
              </w:rPr>
              <w:fldChar w:fldCharType="begin"/>
            </w:r>
            <w:r>
              <w:rPr>
                <w:webHidden/>
              </w:rPr>
              <w:instrText xml:space="preserve"> PAGEREF _Toc147756911 \h </w:instrText>
            </w:r>
            <w:r>
              <w:rPr>
                <w:webHidden/>
              </w:rPr>
            </w:r>
            <w:r>
              <w:rPr>
                <w:webHidden/>
              </w:rPr>
              <w:fldChar w:fldCharType="separate"/>
            </w:r>
            <w:r w:rsidR="007D0BE0">
              <w:rPr>
                <w:webHidden/>
              </w:rPr>
              <w:t>52</w:t>
            </w:r>
            <w:r>
              <w:rPr>
                <w:webHidden/>
              </w:rPr>
              <w:fldChar w:fldCharType="end"/>
            </w:r>
          </w:hyperlink>
        </w:p>
        <w:p w14:paraId="32943AEB" w14:textId="0DA3FF9F"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912" w:history="1">
            <w:r w:rsidRPr="0013495B">
              <w:rPr>
                <w:rStyle w:val="Hyperlink"/>
              </w:rPr>
              <w:t>Waterways, Drainage and Catchment Management</w:t>
            </w:r>
            <w:r>
              <w:rPr>
                <w:webHidden/>
              </w:rPr>
              <w:tab/>
            </w:r>
            <w:r>
              <w:rPr>
                <w:webHidden/>
              </w:rPr>
              <w:fldChar w:fldCharType="begin"/>
            </w:r>
            <w:r>
              <w:rPr>
                <w:webHidden/>
              </w:rPr>
              <w:instrText xml:space="preserve"> PAGEREF _Toc147756912 \h </w:instrText>
            </w:r>
            <w:r>
              <w:rPr>
                <w:webHidden/>
              </w:rPr>
            </w:r>
            <w:r>
              <w:rPr>
                <w:webHidden/>
              </w:rPr>
              <w:fldChar w:fldCharType="separate"/>
            </w:r>
            <w:r w:rsidR="007D0BE0">
              <w:rPr>
                <w:webHidden/>
              </w:rPr>
              <w:t>53</w:t>
            </w:r>
            <w:r>
              <w:rPr>
                <w:webHidden/>
              </w:rPr>
              <w:fldChar w:fldCharType="end"/>
            </w:r>
          </w:hyperlink>
        </w:p>
        <w:p w14:paraId="7BA524EE" w14:textId="6B79EE34"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913" w:history="1">
            <w:r w:rsidRPr="0013495B">
              <w:rPr>
                <w:rStyle w:val="Hyperlink"/>
              </w:rPr>
              <w:t>Alternative Water Supply</w:t>
            </w:r>
            <w:r>
              <w:rPr>
                <w:webHidden/>
              </w:rPr>
              <w:tab/>
            </w:r>
            <w:r>
              <w:rPr>
                <w:webHidden/>
              </w:rPr>
              <w:fldChar w:fldCharType="begin"/>
            </w:r>
            <w:r>
              <w:rPr>
                <w:webHidden/>
              </w:rPr>
              <w:instrText xml:space="preserve"> PAGEREF _Toc147756913 \h </w:instrText>
            </w:r>
            <w:r>
              <w:rPr>
                <w:webHidden/>
              </w:rPr>
            </w:r>
            <w:r>
              <w:rPr>
                <w:webHidden/>
              </w:rPr>
              <w:fldChar w:fldCharType="separate"/>
            </w:r>
            <w:r w:rsidR="007D0BE0">
              <w:rPr>
                <w:webHidden/>
              </w:rPr>
              <w:t>53</w:t>
            </w:r>
            <w:r>
              <w:rPr>
                <w:webHidden/>
              </w:rPr>
              <w:fldChar w:fldCharType="end"/>
            </w:r>
          </w:hyperlink>
        </w:p>
        <w:p w14:paraId="0986BD51" w14:textId="7EBC83B6" w:rsidR="00400086" w:rsidRDefault="00400086" w:rsidP="00FC6283">
          <w:pPr>
            <w:pStyle w:val="TOC3"/>
            <w:rPr>
              <w:rFonts w:asciiTheme="minorHAnsi" w:eastAsiaTheme="minorEastAsia" w:hAnsiTheme="minorHAnsi" w:cstheme="minorBidi"/>
              <w:color w:val="auto"/>
              <w:kern w:val="2"/>
              <w:sz w:val="22"/>
              <w:szCs w:val="22"/>
              <w14:ligatures w14:val="standardContextual"/>
            </w:rPr>
          </w:pPr>
          <w:hyperlink w:anchor="_Toc147756914" w:history="1">
            <w:r w:rsidRPr="0013495B">
              <w:rPr>
                <w:rStyle w:val="Hyperlink"/>
              </w:rPr>
              <w:t>Other/All Services</w:t>
            </w:r>
            <w:r>
              <w:rPr>
                <w:webHidden/>
              </w:rPr>
              <w:tab/>
            </w:r>
            <w:r>
              <w:rPr>
                <w:webHidden/>
              </w:rPr>
              <w:fldChar w:fldCharType="begin"/>
            </w:r>
            <w:r>
              <w:rPr>
                <w:webHidden/>
              </w:rPr>
              <w:instrText xml:space="preserve"> PAGEREF _Toc147756914 \h </w:instrText>
            </w:r>
            <w:r>
              <w:rPr>
                <w:webHidden/>
              </w:rPr>
            </w:r>
            <w:r>
              <w:rPr>
                <w:webHidden/>
              </w:rPr>
              <w:fldChar w:fldCharType="separate"/>
            </w:r>
            <w:r w:rsidR="007D0BE0">
              <w:rPr>
                <w:webHidden/>
              </w:rPr>
              <w:t>53</w:t>
            </w:r>
            <w:r>
              <w:rPr>
                <w:webHidden/>
              </w:rPr>
              <w:fldChar w:fldCharType="end"/>
            </w:r>
          </w:hyperlink>
        </w:p>
        <w:p w14:paraId="111993D6" w14:textId="5C0CA4D0"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15" w:history="1">
            <w:r w:rsidRPr="0013495B">
              <w:rPr>
                <w:rStyle w:val="Hyperlink"/>
                <w:noProof/>
              </w:rPr>
              <w:t>Appendix B – Key Performance Indicators and Targets</w:t>
            </w:r>
            <w:r>
              <w:rPr>
                <w:noProof/>
                <w:webHidden/>
              </w:rPr>
              <w:tab/>
            </w:r>
            <w:r>
              <w:rPr>
                <w:noProof/>
                <w:webHidden/>
              </w:rPr>
              <w:fldChar w:fldCharType="begin"/>
            </w:r>
            <w:r>
              <w:rPr>
                <w:noProof/>
                <w:webHidden/>
              </w:rPr>
              <w:instrText xml:space="preserve"> PAGEREF _Toc147756915 \h </w:instrText>
            </w:r>
            <w:r>
              <w:rPr>
                <w:noProof/>
                <w:webHidden/>
              </w:rPr>
            </w:r>
            <w:r>
              <w:rPr>
                <w:noProof/>
                <w:webHidden/>
              </w:rPr>
              <w:fldChar w:fldCharType="separate"/>
            </w:r>
            <w:r w:rsidR="007D0BE0">
              <w:rPr>
                <w:noProof/>
                <w:webHidden/>
              </w:rPr>
              <w:t>53</w:t>
            </w:r>
            <w:r>
              <w:rPr>
                <w:noProof/>
                <w:webHidden/>
              </w:rPr>
              <w:fldChar w:fldCharType="end"/>
            </w:r>
          </w:hyperlink>
        </w:p>
        <w:p w14:paraId="1D493031" w14:textId="7A6B6F7E"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16" w:history="1">
            <w:r w:rsidRPr="0013495B">
              <w:rPr>
                <w:rStyle w:val="Hyperlink"/>
                <w:noProof/>
              </w:rPr>
              <w:t>Appendix C – Risk Management</w:t>
            </w:r>
            <w:r>
              <w:rPr>
                <w:noProof/>
                <w:webHidden/>
              </w:rPr>
              <w:tab/>
            </w:r>
            <w:r>
              <w:rPr>
                <w:noProof/>
                <w:webHidden/>
              </w:rPr>
              <w:fldChar w:fldCharType="begin"/>
            </w:r>
            <w:r>
              <w:rPr>
                <w:noProof/>
                <w:webHidden/>
              </w:rPr>
              <w:instrText xml:space="preserve"> PAGEREF _Toc147756916 \h </w:instrText>
            </w:r>
            <w:r>
              <w:rPr>
                <w:noProof/>
                <w:webHidden/>
              </w:rPr>
            </w:r>
            <w:r>
              <w:rPr>
                <w:noProof/>
                <w:webHidden/>
              </w:rPr>
              <w:fldChar w:fldCharType="separate"/>
            </w:r>
            <w:r w:rsidR="007D0BE0">
              <w:rPr>
                <w:noProof/>
                <w:webHidden/>
              </w:rPr>
              <w:t>55</w:t>
            </w:r>
            <w:r>
              <w:rPr>
                <w:noProof/>
                <w:webHidden/>
              </w:rPr>
              <w:fldChar w:fldCharType="end"/>
            </w:r>
          </w:hyperlink>
        </w:p>
        <w:p w14:paraId="1BCA8B2A" w14:textId="6EAB8CE5"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17" w:history="1">
            <w:r w:rsidRPr="0013495B">
              <w:rPr>
                <w:rStyle w:val="Hyperlink"/>
                <w:noProof/>
              </w:rPr>
              <w:t>Appendix D – Reportable Capital Projects</w:t>
            </w:r>
            <w:r>
              <w:rPr>
                <w:noProof/>
                <w:webHidden/>
              </w:rPr>
              <w:tab/>
            </w:r>
            <w:r>
              <w:rPr>
                <w:noProof/>
                <w:webHidden/>
              </w:rPr>
              <w:fldChar w:fldCharType="begin"/>
            </w:r>
            <w:r>
              <w:rPr>
                <w:noProof/>
                <w:webHidden/>
              </w:rPr>
              <w:instrText xml:space="preserve"> PAGEREF _Toc147756917 \h </w:instrText>
            </w:r>
            <w:r>
              <w:rPr>
                <w:noProof/>
                <w:webHidden/>
              </w:rPr>
            </w:r>
            <w:r>
              <w:rPr>
                <w:noProof/>
                <w:webHidden/>
              </w:rPr>
              <w:fldChar w:fldCharType="separate"/>
            </w:r>
            <w:r w:rsidR="007D0BE0">
              <w:rPr>
                <w:noProof/>
                <w:webHidden/>
              </w:rPr>
              <w:t>57</w:t>
            </w:r>
            <w:r>
              <w:rPr>
                <w:noProof/>
                <w:webHidden/>
              </w:rPr>
              <w:fldChar w:fldCharType="end"/>
            </w:r>
          </w:hyperlink>
        </w:p>
        <w:p w14:paraId="4449890C" w14:textId="0084ABB0" w:rsidR="00400086" w:rsidRDefault="00400086" w:rsidP="00FC6283">
          <w:pPr>
            <w:pStyle w:val="TOC2"/>
            <w:rPr>
              <w:rFonts w:asciiTheme="minorHAnsi" w:eastAsiaTheme="minorEastAsia" w:hAnsiTheme="minorHAnsi" w:cstheme="minorBidi"/>
              <w:noProof/>
              <w:color w:val="auto"/>
              <w:kern w:val="2"/>
              <w:sz w:val="22"/>
              <w:szCs w:val="22"/>
              <w14:ligatures w14:val="standardContextual"/>
            </w:rPr>
          </w:pPr>
          <w:hyperlink w:anchor="_Toc147756918" w:history="1">
            <w:r w:rsidRPr="0013495B">
              <w:rPr>
                <w:rStyle w:val="Hyperlink"/>
                <w:noProof/>
              </w:rPr>
              <w:t>Appendix E – Financials</w:t>
            </w:r>
            <w:r>
              <w:rPr>
                <w:noProof/>
                <w:webHidden/>
              </w:rPr>
              <w:tab/>
            </w:r>
            <w:r>
              <w:rPr>
                <w:noProof/>
                <w:webHidden/>
              </w:rPr>
              <w:fldChar w:fldCharType="begin"/>
            </w:r>
            <w:r>
              <w:rPr>
                <w:noProof/>
                <w:webHidden/>
              </w:rPr>
              <w:instrText xml:space="preserve"> PAGEREF _Toc147756918 \h </w:instrText>
            </w:r>
            <w:r>
              <w:rPr>
                <w:noProof/>
                <w:webHidden/>
              </w:rPr>
            </w:r>
            <w:r>
              <w:rPr>
                <w:noProof/>
                <w:webHidden/>
              </w:rPr>
              <w:fldChar w:fldCharType="separate"/>
            </w:r>
            <w:r w:rsidR="007D0BE0">
              <w:rPr>
                <w:noProof/>
                <w:webHidden/>
              </w:rPr>
              <w:t>58</w:t>
            </w:r>
            <w:r>
              <w:rPr>
                <w:noProof/>
                <w:webHidden/>
              </w:rPr>
              <w:fldChar w:fldCharType="end"/>
            </w:r>
          </w:hyperlink>
        </w:p>
        <w:p w14:paraId="6D27D0FF" w14:textId="541B7371" w:rsidR="00143D6B" w:rsidRDefault="00671EDB" w:rsidP="00143D6B">
          <w:r>
            <w:rPr>
              <w:b/>
              <w:bCs/>
              <w:noProof/>
              <w:lang w:val="en-US"/>
            </w:rPr>
            <w:fldChar w:fldCharType="end"/>
          </w:r>
        </w:p>
      </w:sdtContent>
    </w:sdt>
    <w:p w14:paraId="499FCB69" w14:textId="77777777" w:rsidR="00143D6B" w:rsidRDefault="007F4791" w:rsidP="005A7987">
      <w:pPr>
        <w:pStyle w:val="Heading1"/>
      </w:pPr>
      <w:bookmarkStart w:id="3" w:name="_Toc147756851"/>
      <w:r w:rsidRPr="00A25F2C">
        <w:lastRenderedPageBreak/>
        <w:t xml:space="preserve">Enhancing life and </w:t>
      </w:r>
      <w:r w:rsidRPr="005A7987">
        <w:t>liveability</w:t>
      </w:r>
      <w:bookmarkEnd w:id="3"/>
    </w:p>
    <w:p w14:paraId="5CC9D5EA" w14:textId="6F9BDDFB" w:rsidR="007F4791" w:rsidRPr="00A25F2C" w:rsidRDefault="007F4791" w:rsidP="005A7987">
      <w:pPr>
        <w:pStyle w:val="Heading2"/>
      </w:pPr>
      <w:bookmarkStart w:id="4" w:name="_Toc147756852"/>
      <w:r w:rsidRPr="00A25F2C">
        <w:t xml:space="preserve">Our vision and </w:t>
      </w:r>
      <w:r w:rsidRPr="005A7987">
        <w:t>values</w:t>
      </w:r>
      <w:bookmarkEnd w:id="4"/>
    </w:p>
    <w:p w14:paraId="4620530A" w14:textId="77777777" w:rsidR="007F4791" w:rsidRPr="00A25F2C" w:rsidRDefault="007F4791" w:rsidP="007F4791">
      <w:pPr>
        <w:pStyle w:val="BodyText"/>
      </w:pPr>
      <w:r w:rsidRPr="00A25F2C">
        <w:t>Melbourne Water’s vision is to enhance the life and liveability of greater Melbourne and the surrounding region. Water is central to life and growth. It sustains our natural environment, the communities we value and the economy we depend on.</w:t>
      </w:r>
    </w:p>
    <w:p w14:paraId="6B7E04C1" w14:textId="22F6A98D" w:rsidR="007F4791" w:rsidRPr="00A25F2C" w:rsidRDefault="007F4791" w:rsidP="007F4791">
      <w:pPr>
        <w:pStyle w:val="BodyText"/>
      </w:pPr>
      <w:r w:rsidRPr="005A7987">
        <w:t>We are uniquely positioned to navigate a path that meets our water needs,</w:t>
      </w:r>
      <w:r w:rsidR="005A7987" w:rsidRPr="005A7987">
        <w:t xml:space="preserve"> </w:t>
      </w:r>
      <w:r w:rsidRPr="005A7987">
        <w:t xml:space="preserve">optimise our use and re-use of resources, preserve our natural environment, sustain the liveability of our </w:t>
      </w:r>
      <w:proofErr w:type="gramStart"/>
      <w:r w:rsidRPr="005A7987">
        <w:t>environment</w:t>
      </w:r>
      <w:proofErr w:type="gramEnd"/>
      <w:r w:rsidRPr="005A7987">
        <w:t xml:space="preserve"> and provide trusted collaborative leadership</w:t>
      </w:r>
      <w:r w:rsidRPr="00A25F2C">
        <w:t>.</w:t>
      </w:r>
    </w:p>
    <w:p w14:paraId="5C89524D" w14:textId="77777777" w:rsidR="007F4791" w:rsidRPr="00A25F2C" w:rsidRDefault="007F4791" w:rsidP="007F4791">
      <w:pPr>
        <w:pStyle w:val="BodyText"/>
      </w:pPr>
      <w:r w:rsidRPr="00A25F2C">
        <w:t>Our vision is built around three pillars:</w:t>
      </w:r>
    </w:p>
    <w:p w14:paraId="1B274D49" w14:textId="77777777" w:rsidR="007F4791" w:rsidRPr="00A25F2C" w:rsidRDefault="007F4791" w:rsidP="007F4791">
      <w:pPr>
        <w:pStyle w:val="ListBullet"/>
      </w:pPr>
      <w:r w:rsidRPr="00A25F2C">
        <w:rPr>
          <w:b/>
        </w:rPr>
        <w:t xml:space="preserve">Healthy People </w:t>
      </w:r>
      <w:r w:rsidRPr="00A25F2C">
        <w:t>– By providing safe, affordable, world- class drinking water and sewage treatment, and supporting Melburnians to live healthy lifestyles, we protect public health and strengthen the wellbeing of our community.</w:t>
      </w:r>
    </w:p>
    <w:p w14:paraId="4DCC9FEB" w14:textId="77777777" w:rsidR="007F4791" w:rsidRPr="00A25F2C" w:rsidRDefault="007F4791" w:rsidP="00F13D2F">
      <w:pPr>
        <w:pStyle w:val="ListBullet"/>
        <w:numPr>
          <w:ilvl w:val="0"/>
          <w:numId w:val="19"/>
        </w:numPr>
      </w:pPr>
      <w:r w:rsidRPr="007F4791">
        <w:rPr>
          <w:b/>
        </w:rPr>
        <w:t xml:space="preserve">Healthy Places </w:t>
      </w:r>
      <w:r w:rsidRPr="00A25F2C">
        <w:t>– By managing the impacts of climate change, building our resilience to flooding across the region, and partnering to deliver sustainable land and water management, we create more desirable places to live.</w:t>
      </w:r>
    </w:p>
    <w:p w14:paraId="3E1FCF44" w14:textId="77777777" w:rsidR="007F4791" w:rsidRPr="00A25F2C" w:rsidRDefault="007F4791" w:rsidP="007F4791">
      <w:pPr>
        <w:pStyle w:val="ListBullet"/>
      </w:pPr>
      <w:r w:rsidRPr="00A25F2C">
        <w:rPr>
          <w:b/>
        </w:rPr>
        <w:t xml:space="preserve">Healthy Environment </w:t>
      </w:r>
      <w:r w:rsidRPr="00A25F2C">
        <w:t xml:space="preserve">– By being innovative with resource recovery, reducing our emissions, improving the quality of </w:t>
      </w:r>
      <w:proofErr w:type="gramStart"/>
      <w:r w:rsidRPr="00A25F2C">
        <w:t>waterways</w:t>
      </w:r>
      <w:proofErr w:type="gramEnd"/>
      <w:r w:rsidRPr="00A25F2C">
        <w:t xml:space="preserve"> and engaging with the community, we enhance biodiversity and help protect our natural assets.</w:t>
      </w:r>
    </w:p>
    <w:p w14:paraId="655F35D3" w14:textId="77777777" w:rsidR="007F4791" w:rsidRPr="00A25F2C" w:rsidRDefault="007F4791" w:rsidP="007F4791">
      <w:pPr>
        <w:pStyle w:val="BodyText"/>
      </w:pPr>
      <w:r w:rsidRPr="00A25F2C">
        <w:t>Our values of care, integrity and courage are integral to the way we do business and treat one another. They are intrinsically linked to our vision of enhancing life and liveability, and guide all that we do.</w:t>
      </w:r>
    </w:p>
    <w:p w14:paraId="10A0BC7E" w14:textId="77777777" w:rsidR="007F4791" w:rsidRPr="00A25F2C" w:rsidRDefault="007F4791" w:rsidP="007F4791">
      <w:pPr>
        <w:pStyle w:val="ListBullet"/>
      </w:pPr>
      <w:r w:rsidRPr="00A25F2C">
        <w:rPr>
          <w:b/>
        </w:rPr>
        <w:t xml:space="preserve">Care </w:t>
      </w:r>
      <w:r w:rsidRPr="00A25F2C">
        <w:t xml:space="preserve">– We always put safety and wellbeing first, and seek the best for our colleagues, community, </w:t>
      </w:r>
      <w:proofErr w:type="gramStart"/>
      <w:r w:rsidRPr="00A25F2C">
        <w:t>customers</w:t>
      </w:r>
      <w:proofErr w:type="gramEnd"/>
      <w:r w:rsidRPr="00A25F2C">
        <w:t xml:space="preserve"> and environment.</w:t>
      </w:r>
    </w:p>
    <w:p w14:paraId="016BE347" w14:textId="77777777" w:rsidR="007F4791" w:rsidRPr="00A25F2C" w:rsidRDefault="007F4791" w:rsidP="007F4791">
      <w:pPr>
        <w:pStyle w:val="ListBullet"/>
      </w:pPr>
      <w:r w:rsidRPr="00A25F2C">
        <w:rPr>
          <w:b/>
        </w:rPr>
        <w:t xml:space="preserve">Integrity </w:t>
      </w:r>
      <w:r w:rsidRPr="00A25F2C">
        <w:t>– We are open and transparent in everything we do, treating people with respect and taking full responsibility for our words and actions.</w:t>
      </w:r>
    </w:p>
    <w:p w14:paraId="22FAC26F" w14:textId="77777777" w:rsidR="007F4791" w:rsidRPr="00A25F2C" w:rsidRDefault="007F4791" w:rsidP="007F4791">
      <w:pPr>
        <w:pStyle w:val="ListBullet"/>
      </w:pPr>
      <w:r w:rsidRPr="00A25F2C">
        <w:rPr>
          <w:b/>
        </w:rPr>
        <w:t xml:space="preserve">Courage </w:t>
      </w:r>
      <w:r w:rsidRPr="00A25F2C">
        <w:t xml:space="preserve">– We empower each other to believe in ourselves, speak up, </w:t>
      </w:r>
      <w:proofErr w:type="gramStart"/>
      <w:r w:rsidRPr="00A25F2C">
        <w:t>innovate</w:t>
      </w:r>
      <w:proofErr w:type="gramEnd"/>
      <w:r w:rsidRPr="00A25F2C">
        <w:t xml:space="preserve"> and learn from our mistakes to continuously improve how we do things and achieve the best possible outcomes.</w:t>
      </w:r>
    </w:p>
    <w:p w14:paraId="0901D32D" w14:textId="4892321A" w:rsidR="007F4791" w:rsidRPr="00A25F2C" w:rsidRDefault="007F4791" w:rsidP="007F4791">
      <w:pPr>
        <w:pStyle w:val="Heading2"/>
      </w:pPr>
      <w:bookmarkStart w:id="5" w:name="_Toc147756853"/>
      <w:r w:rsidRPr="00A25F2C">
        <w:t>Our services</w:t>
      </w:r>
      <w:bookmarkEnd w:id="5"/>
    </w:p>
    <w:p w14:paraId="260F22D4" w14:textId="77777777" w:rsidR="007F4791" w:rsidRPr="00A25F2C" w:rsidRDefault="007F4791" w:rsidP="007F4791">
      <w:pPr>
        <w:pStyle w:val="BodyText"/>
      </w:pPr>
      <w:r w:rsidRPr="00A25F2C">
        <w:t>We are a statutory authority, owned by the Victorian Government, and work closely with it to deliver critical services that support our growing and dynamic city. As we face a changing climate, we are proactively adapting our services to secure the system resiliency required to meet the water needs of all Melburnians - current and future.</w:t>
      </w:r>
    </w:p>
    <w:p w14:paraId="2DB7E710" w14:textId="77777777" w:rsidR="007F4791" w:rsidRPr="00A25F2C" w:rsidRDefault="007F4791" w:rsidP="007F4791">
      <w:pPr>
        <w:pStyle w:val="BodyText"/>
      </w:pPr>
      <w:r w:rsidRPr="00A25F2C">
        <w:t>To meet the challenges of the next decade, Melbourne Water’s diverse and dedicated teams are responding to both the immediate needs of our customers and community, and planning for long-term water security, climate change and the environmental health of our region.</w:t>
      </w:r>
    </w:p>
    <w:p w14:paraId="321262CB" w14:textId="253795FA" w:rsidR="007F4791" w:rsidRPr="00A25F2C" w:rsidRDefault="007F4791" w:rsidP="007F4791">
      <w:pPr>
        <w:pStyle w:val="BodyText"/>
      </w:pPr>
      <w:r w:rsidRPr="00A25F2C">
        <w:t xml:space="preserve">We are guided by our strategic goals to inform our organisational priorities, work planning and the capabilities </w:t>
      </w:r>
      <w:r w:rsidRPr="005A7987">
        <w:t>required to deliver them. These goals ensure we are prepared for future challenges so that we continue to provide the</w:t>
      </w:r>
      <w:r w:rsidR="005A7987" w:rsidRPr="005A7987">
        <w:t xml:space="preserve"> </w:t>
      </w:r>
      <w:r w:rsidRPr="005A7987">
        <w:t xml:space="preserve">safe, </w:t>
      </w:r>
      <w:proofErr w:type="gramStart"/>
      <w:r w:rsidRPr="005A7987">
        <w:t>secure</w:t>
      </w:r>
      <w:proofErr w:type="gramEnd"/>
      <w:r w:rsidRPr="005A7987">
        <w:t xml:space="preserve"> and affordable</w:t>
      </w:r>
      <w:r w:rsidRPr="00A25F2C">
        <w:t xml:space="preserve"> services the community and our customers expect.</w:t>
      </w:r>
    </w:p>
    <w:p w14:paraId="0664C7BA" w14:textId="77777777" w:rsidR="007F4791" w:rsidRPr="00A25F2C" w:rsidRDefault="007F4791" w:rsidP="007F4791">
      <w:pPr>
        <w:pStyle w:val="BodyText"/>
      </w:pPr>
      <w:r w:rsidRPr="00A25F2C">
        <w:t>By 2027, Melbourne Water aims to ensure our current and future customers and compliance expectations are met across all services, and that we proactively adapt to future changes and are sufficiently resilient to withstand unexpected events.</w:t>
      </w:r>
    </w:p>
    <w:p w14:paraId="63DB91C4" w14:textId="669A3B16" w:rsidR="007F4791" w:rsidRPr="00A25F2C" w:rsidRDefault="007F4791" w:rsidP="007F4791">
      <w:pPr>
        <w:pStyle w:val="BodyText"/>
      </w:pPr>
      <w:r w:rsidRPr="00A25F2C">
        <w:lastRenderedPageBreak/>
        <w:t xml:space="preserve">To </w:t>
      </w:r>
      <w:r w:rsidRPr="005A7987">
        <w:t>continue meeting the service requirements of our customers and community in the face of population growth and</w:t>
      </w:r>
      <w:r w:rsidR="005A7987" w:rsidRPr="005A7987">
        <w:t xml:space="preserve"> </w:t>
      </w:r>
      <w:r w:rsidRPr="005A7987">
        <w:t>climate change,</w:t>
      </w:r>
      <w:r w:rsidRPr="00A25F2C">
        <w:t xml:space="preserve"> Melbourne Water has a strong focus on risk management by:</w:t>
      </w:r>
    </w:p>
    <w:p w14:paraId="7973FD57" w14:textId="77777777" w:rsidR="007F4791" w:rsidRPr="00A25F2C" w:rsidRDefault="007F4791" w:rsidP="007F4791">
      <w:pPr>
        <w:pStyle w:val="ListBullet"/>
      </w:pPr>
      <w:r w:rsidRPr="00A25F2C">
        <w:t>developing a plan to close any gaps between our performance and current service offerings</w:t>
      </w:r>
    </w:p>
    <w:p w14:paraId="71CAFD72" w14:textId="77777777" w:rsidR="007F4791" w:rsidRPr="00A25F2C" w:rsidRDefault="007F4791" w:rsidP="007F4791">
      <w:pPr>
        <w:pStyle w:val="ListBullet"/>
      </w:pPr>
      <w:r w:rsidRPr="00A25F2C">
        <w:t>undertaking the Bulk Supply Agreement review in partnership with retail water corporations to make this more appropriate for contemporary and future purposes</w:t>
      </w:r>
    </w:p>
    <w:p w14:paraId="13CA6916" w14:textId="77777777" w:rsidR="00143D6B" w:rsidRDefault="007F4791" w:rsidP="007F4791">
      <w:pPr>
        <w:pStyle w:val="ListBullet"/>
      </w:pPr>
      <w:r w:rsidRPr="00A25F2C">
        <w:t>further understanding and preparing for resilience threats to our network.</w:t>
      </w:r>
    </w:p>
    <w:p w14:paraId="34107833" w14:textId="6F07A824" w:rsidR="007F4791" w:rsidRPr="00A25F2C" w:rsidRDefault="007F4791" w:rsidP="001F2C92">
      <w:pPr>
        <w:pStyle w:val="Heading3"/>
      </w:pPr>
      <w:bookmarkStart w:id="6" w:name="_Toc147756854"/>
      <w:r w:rsidRPr="00A25F2C">
        <w:t>Water</w:t>
      </w:r>
      <w:bookmarkEnd w:id="6"/>
    </w:p>
    <w:p w14:paraId="76E0032F" w14:textId="77777777" w:rsidR="007F4791" w:rsidRPr="00A25F2C" w:rsidRDefault="007F4791" w:rsidP="007F4791">
      <w:pPr>
        <w:pStyle w:val="BodyText"/>
      </w:pPr>
      <w:r w:rsidRPr="00A25F2C">
        <w:t xml:space="preserve">Melbourne Water is proud to provide wholesale water in partnership with Melbourne’s retail water companies, as well as regional water corporations that are connected to the Melbourne water supply system. We are committed to delivering high-quality water while tackling the challenges posed by climate change, technological </w:t>
      </w:r>
      <w:proofErr w:type="gramStart"/>
      <w:r w:rsidRPr="00A25F2C">
        <w:t>advancements</w:t>
      </w:r>
      <w:proofErr w:type="gramEnd"/>
      <w:r w:rsidRPr="00A25F2C">
        <w:t xml:space="preserve"> and changes to population.</w:t>
      </w:r>
    </w:p>
    <w:p w14:paraId="7E8E6D1A" w14:textId="77777777" w:rsidR="00143D6B" w:rsidRDefault="007F4791" w:rsidP="007F4791">
      <w:pPr>
        <w:pStyle w:val="BodyText"/>
      </w:pPr>
      <w:r w:rsidRPr="00A25F2C">
        <w:t>We are also responsible for managing approximately 1800 licences to use water from farm dams and waterways in the greater Melbourne region.</w:t>
      </w:r>
    </w:p>
    <w:p w14:paraId="5CBBD8C2" w14:textId="64B49393" w:rsidR="007F4791" w:rsidRPr="00A25F2C" w:rsidRDefault="007F4791" w:rsidP="001F2C92">
      <w:pPr>
        <w:pStyle w:val="PullBoxHeading"/>
      </w:pPr>
      <w:r w:rsidRPr="00A25F2C">
        <w:t>Delivering for our customers</w:t>
      </w:r>
    </w:p>
    <w:p w14:paraId="2D776A63" w14:textId="77777777" w:rsidR="007F4791" w:rsidRPr="00A25F2C" w:rsidRDefault="007F4791" w:rsidP="001F2C92">
      <w:pPr>
        <w:pStyle w:val="PullBox"/>
      </w:pPr>
      <w:r w:rsidRPr="00A25F2C">
        <w:t>Our commitments to our customers are:</w:t>
      </w:r>
    </w:p>
    <w:p w14:paraId="59391E9F" w14:textId="77777777" w:rsidR="007F4791" w:rsidRPr="00A25F2C" w:rsidRDefault="007F4791" w:rsidP="001F2C92">
      <w:pPr>
        <w:pStyle w:val="PullBoxBullet"/>
      </w:pPr>
      <w:r w:rsidRPr="00A25F2C">
        <w:t xml:space="preserve">zero non-compliances with the </w:t>
      </w:r>
      <w:r w:rsidRPr="00A25F2C">
        <w:rPr>
          <w:i/>
        </w:rPr>
        <w:t>Safe Drinking Water Act 2003</w:t>
      </w:r>
      <w:r w:rsidRPr="00A25F2C">
        <w:t>. We will supply high-quality drinking water that meets stringent standards for risk management and public health. We will do this by maintaining and renewing the assets we have, investing to provide capacity as Melbourne’s population grows.</w:t>
      </w:r>
    </w:p>
    <w:p w14:paraId="7F589E9D" w14:textId="77777777" w:rsidR="007F4791" w:rsidRPr="00A25F2C" w:rsidRDefault="007F4791" w:rsidP="001F2C92">
      <w:pPr>
        <w:pStyle w:val="PullBoxBullet"/>
      </w:pPr>
      <w:r w:rsidRPr="00A25F2C">
        <w:t>to meet 99.9% retail water company pressure requirements. We will provide an uninterrupted supply of water to homes and businesses, as specified in our agreements with water companies.</w:t>
      </w:r>
    </w:p>
    <w:p w14:paraId="2BADF0CB" w14:textId="24A93C2C" w:rsidR="007F4791" w:rsidRPr="00A25F2C" w:rsidRDefault="007F4791" w:rsidP="001F2C92">
      <w:pPr>
        <w:pStyle w:val="PullBoxBullet"/>
      </w:pPr>
      <w:r w:rsidRPr="00A25F2C">
        <w:t xml:space="preserve">to ensure ≥75% proportion of the community has at least moderate water literacy. We will target our education programs to </w:t>
      </w:r>
      <w:r w:rsidRPr="00995D31">
        <w:t>improve water literacy levels</w:t>
      </w:r>
      <w:r w:rsidR="001F2C92" w:rsidRPr="00995D31">
        <w:t xml:space="preserve"> </w:t>
      </w:r>
      <w:r w:rsidRPr="00995D31">
        <w:t>from low to moderate (or hi</w:t>
      </w:r>
      <w:r w:rsidRPr="009448C3">
        <w:t>gh</w:t>
      </w:r>
      <w:r w:rsidRPr="00A25F2C">
        <w:t>), equipping people with the knowledge to contribute to smart water choices.</w:t>
      </w:r>
    </w:p>
    <w:p w14:paraId="7088A0B1" w14:textId="30E0CB31" w:rsidR="00143D6B" w:rsidRDefault="007F4791" w:rsidP="001F2C92">
      <w:pPr>
        <w:pStyle w:val="PullBoxBullet"/>
      </w:pPr>
      <w:r w:rsidRPr="00A25F2C">
        <w:t xml:space="preserve">to meet ≥8.3 customer satisfaction (CSAT) by 2025- 26 – bulk water services. We will improve </w:t>
      </w:r>
      <w:r w:rsidR="009448C3">
        <w:t>customer satisfaction</w:t>
      </w:r>
      <w:r w:rsidRPr="00A25F2C">
        <w:t xml:space="preserve"> across each of our four services, as measured by surveys on</w:t>
      </w:r>
      <w:r w:rsidR="001F2C92">
        <w:t xml:space="preserve"> </w:t>
      </w:r>
      <w:r w:rsidR="001F2C92" w:rsidRPr="001F2C92">
        <w:t>transparency, ease of doing business and timeliness.</w:t>
      </w:r>
    </w:p>
    <w:p w14:paraId="51726E06" w14:textId="3DD00625" w:rsidR="007F4791" w:rsidRPr="00A25F2C" w:rsidRDefault="007F4791" w:rsidP="001F2C92">
      <w:pPr>
        <w:pStyle w:val="Heading3"/>
      </w:pPr>
      <w:bookmarkStart w:id="7" w:name="_Toc147756855"/>
      <w:r w:rsidRPr="00A25F2C">
        <w:t>Sewerage</w:t>
      </w:r>
      <w:bookmarkEnd w:id="7"/>
    </w:p>
    <w:p w14:paraId="2BC37108" w14:textId="77777777" w:rsidR="00143D6B" w:rsidRDefault="007F4791" w:rsidP="007F4791">
      <w:pPr>
        <w:pStyle w:val="BodyText"/>
      </w:pPr>
      <w:r w:rsidRPr="00A25F2C">
        <w:t xml:space="preserve">Melbourne Water is committed to ensuring a safe, </w:t>
      </w:r>
      <w:proofErr w:type="gramStart"/>
      <w:r w:rsidRPr="00A25F2C">
        <w:t>reliable</w:t>
      </w:r>
      <w:proofErr w:type="gramEnd"/>
      <w:r w:rsidRPr="00A25F2C">
        <w:t xml:space="preserve"> and sustainable sewerage system that contributes positively to public health while protecting and enhancing the environment. We work in partnership with our customers, the retail water corporations, to deliver wholesale sewerage transfer, treatment and recover valuable resources.</w:t>
      </w:r>
    </w:p>
    <w:p w14:paraId="2B65EDC2" w14:textId="076794C8" w:rsidR="007F4791" w:rsidRPr="00A25F2C" w:rsidRDefault="007F4791" w:rsidP="001F2C92">
      <w:pPr>
        <w:pStyle w:val="PullBoxHeading"/>
      </w:pPr>
      <w:r w:rsidRPr="00A25F2C">
        <w:t>Delivering for our customers</w:t>
      </w:r>
    </w:p>
    <w:p w14:paraId="005EE493" w14:textId="77777777" w:rsidR="007F4791" w:rsidRPr="00A25F2C" w:rsidRDefault="007F4791" w:rsidP="001F2C92">
      <w:pPr>
        <w:pStyle w:val="PullBox"/>
      </w:pPr>
      <w:r w:rsidRPr="00A25F2C">
        <w:t>Our commitments to our customers are:</w:t>
      </w:r>
    </w:p>
    <w:p w14:paraId="53739E9D" w14:textId="77777777" w:rsidR="007F4791" w:rsidRPr="00A25F2C" w:rsidRDefault="007F4791" w:rsidP="001F2C92">
      <w:pPr>
        <w:pStyle w:val="PullBoxBullet"/>
      </w:pPr>
      <w:r w:rsidRPr="00A25F2C">
        <w:t>zero spills per annum due to system failure.</w:t>
      </w:r>
    </w:p>
    <w:p w14:paraId="1598C442" w14:textId="77777777" w:rsidR="007F4791" w:rsidRPr="00A25F2C" w:rsidRDefault="007F4791" w:rsidP="001F2C92">
      <w:pPr>
        <w:pStyle w:val="PullBoxBullet"/>
      </w:pPr>
      <w:r w:rsidRPr="00A25F2C">
        <w:t>to meet 100% discharge compliance to our environmental operating licence from our two wastewater treatment plants – the Western Treatment Plant and Eastern Treatment Plant.</w:t>
      </w:r>
    </w:p>
    <w:p w14:paraId="5BA79D6B" w14:textId="60255CEA" w:rsidR="00143D6B" w:rsidRDefault="007F4791" w:rsidP="001F2C92">
      <w:pPr>
        <w:pStyle w:val="PullBoxBullet"/>
      </w:pPr>
      <w:r w:rsidRPr="00A25F2C">
        <w:t xml:space="preserve">to meet ≥8.3 </w:t>
      </w:r>
      <w:r w:rsidR="009448C3">
        <w:t>customer satisfaction</w:t>
      </w:r>
      <w:r w:rsidRPr="00A25F2C">
        <w:t xml:space="preserve"> by 2025-26 – bulk sewerage</w:t>
      </w:r>
      <w:r w:rsidR="001F2C92">
        <w:t xml:space="preserve"> services</w:t>
      </w:r>
      <w:r w:rsidR="00400086">
        <w:t>.</w:t>
      </w:r>
    </w:p>
    <w:p w14:paraId="17518098" w14:textId="258ADF5C" w:rsidR="007F4791" w:rsidRPr="00A25F2C" w:rsidRDefault="007F4791" w:rsidP="001F2C92">
      <w:pPr>
        <w:pStyle w:val="Heading3"/>
      </w:pPr>
      <w:bookmarkStart w:id="8" w:name="_Toc147756856"/>
      <w:r w:rsidRPr="00A25F2C">
        <w:lastRenderedPageBreak/>
        <w:t>Drainage</w:t>
      </w:r>
      <w:bookmarkEnd w:id="8"/>
    </w:p>
    <w:p w14:paraId="34905CC1" w14:textId="0CAAED7B" w:rsidR="007F4791" w:rsidRPr="00A25F2C" w:rsidRDefault="007F4791" w:rsidP="007F4791">
      <w:pPr>
        <w:pStyle w:val="BodyText"/>
      </w:pPr>
      <w:r w:rsidRPr="00A25F2C">
        <w:t>Innovation and continuous improvement underpin Melbourne Water’s approach to flood management. As the region’s floodplain manager, we are responsible for delivering and maintaining infrastructure that provides an essential part</w:t>
      </w:r>
      <w:r w:rsidR="001F2C92">
        <w:t xml:space="preserve"> </w:t>
      </w:r>
      <w:r w:rsidRPr="00A25F2C">
        <w:t>of flood management across the region, as well as smart systems and processes to deliver improved resilience across an increasingly complex urban environment. We do this in partnership with state and local governments and emergency services.</w:t>
      </w:r>
    </w:p>
    <w:p w14:paraId="5F872290" w14:textId="77777777" w:rsidR="00143D6B" w:rsidRDefault="007F4791" w:rsidP="007F4791">
      <w:pPr>
        <w:pStyle w:val="BodyText"/>
      </w:pPr>
      <w:r w:rsidRPr="00A25F2C">
        <w:t xml:space="preserve">We also perform a critical role working with the land development industry as a regulator to ensure new developments meet flood requirements. Melbourne Water provides written development advice to landowners, developers, </w:t>
      </w:r>
      <w:proofErr w:type="gramStart"/>
      <w:r w:rsidRPr="00A25F2C">
        <w:t>consultants</w:t>
      </w:r>
      <w:proofErr w:type="gramEnd"/>
      <w:r w:rsidRPr="00A25F2C">
        <w:t xml:space="preserve"> and community members who intend to build in flood-affected areas. We also work with local government to prepare for and amend existing flood hazard mapping and controls in planning schemes.</w:t>
      </w:r>
    </w:p>
    <w:p w14:paraId="2A16D377" w14:textId="7B113E12" w:rsidR="007F4791" w:rsidRPr="00A25F2C" w:rsidRDefault="007F4791" w:rsidP="001F2C92">
      <w:pPr>
        <w:pStyle w:val="PullBoxHeading"/>
      </w:pPr>
      <w:r w:rsidRPr="00A25F2C">
        <w:t>Delivering for our customers</w:t>
      </w:r>
    </w:p>
    <w:p w14:paraId="48BB51A6" w14:textId="77777777" w:rsidR="007F4791" w:rsidRPr="00A25F2C" w:rsidRDefault="007F4791" w:rsidP="001F2C92">
      <w:pPr>
        <w:pStyle w:val="PullBox"/>
      </w:pPr>
      <w:r w:rsidRPr="00A25F2C">
        <w:t>Our commitments to our customers are:</w:t>
      </w:r>
    </w:p>
    <w:p w14:paraId="553829D7" w14:textId="77777777" w:rsidR="007F4791" w:rsidRPr="00A25F2C" w:rsidRDefault="007F4791" w:rsidP="001F2C92">
      <w:pPr>
        <w:pStyle w:val="PullBoxBullet"/>
      </w:pPr>
      <w:r w:rsidRPr="00A25F2C">
        <w:t xml:space="preserve">to deliver flood awareness and preparedness activities in accordance with the </w:t>
      </w:r>
      <w:r w:rsidRPr="00A25F2C">
        <w:rPr>
          <w:i/>
        </w:rPr>
        <w:t xml:space="preserve">Port Phillip and Westernport Flood Management Strategy </w:t>
      </w:r>
      <w:r w:rsidRPr="00A25F2C">
        <w:t>implementation program to improve community awareness of flood risk and increase reach.</w:t>
      </w:r>
    </w:p>
    <w:p w14:paraId="66AA0375" w14:textId="77777777" w:rsidR="007F4791" w:rsidRPr="00A25F2C" w:rsidRDefault="007F4791" w:rsidP="001F2C92">
      <w:pPr>
        <w:pStyle w:val="PullBoxBullet"/>
      </w:pPr>
      <w:r w:rsidRPr="00A25F2C">
        <w:t>a $10 million reduction in average annual damage from flooding for our high-risk customers.</w:t>
      </w:r>
    </w:p>
    <w:p w14:paraId="3F1DCD23" w14:textId="77777777" w:rsidR="00143D6B" w:rsidRDefault="007F4791" w:rsidP="001F2C92">
      <w:pPr>
        <w:pStyle w:val="PullBoxBullet"/>
      </w:pPr>
      <w:r w:rsidRPr="00A25F2C">
        <w:t>that 100% of projects will demonstrate community benefit through activation of land and/or assets.</w:t>
      </w:r>
    </w:p>
    <w:p w14:paraId="70A5E3F6" w14:textId="0A4A9423" w:rsidR="001F2C92" w:rsidRDefault="001F2C92" w:rsidP="001F2C92">
      <w:pPr>
        <w:pStyle w:val="PullBoxBullet"/>
      </w:pPr>
      <w:r w:rsidRPr="001F2C92">
        <w:t xml:space="preserve">to meet ≥6.8 </w:t>
      </w:r>
      <w:r w:rsidR="009448C3">
        <w:t>customer satisfaction</w:t>
      </w:r>
      <w:r w:rsidRPr="001F2C92">
        <w:t xml:space="preserve"> by 2025-26 – drainage service.</w:t>
      </w:r>
    </w:p>
    <w:p w14:paraId="28AA7031" w14:textId="461C19FD" w:rsidR="007F4791" w:rsidRPr="00A25F2C" w:rsidRDefault="007F4791" w:rsidP="001F2C92">
      <w:pPr>
        <w:pStyle w:val="Heading3"/>
      </w:pPr>
      <w:bookmarkStart w:id="9" w:name="_Toc147756857"/>
      <w:r w:rsidRPr="00A25F2C">
        <w:t>Waterways and catchment management</w:t>
      </w:r>
      <w:bookmarkEnd w:id="9"/>
    </w:p>
    <w:p w14:paraId="3F40F06B" w14:textId="436A0C3C" w:rsidR="007F4791" w:rsidRPr="00A25F2C" w:rsidRDefault="007F4791" w:rsidP="007F4791">
      <w:pPr>
        <w:pStyle w:val="BodyText"/>
      </w:pPr>
      <w:r w:rsidRPr="00A25F2C">
        <w:t>Melbourne’s waterways form the backbone of our liveable city and are fundamental to the culture and wellbeing of Melburnians. Ensuring the long-term health and preservation</w:t>
      </w:r>
      <w:r w:rsidR="00143D6B">
        <w:t xml:space="preserve"> </w:t>
      </w:r>
      <w:r w:rsidRPr="00A25F2C">
        <w:t>of our waterways, tackling the challenges of a growing city and the impacts of climate change are key priorities for Melbourne Water.</w:t>
      </w:r>
    </w:p>
    <w:p w14:paraId="39541FAC" w14:textId="77777777" w:rsidR="007F4791" w:rsidRPr="00A25F2C" w:rsidRDefault="007F4791" w:rsidP="007F4791">
      <w:pPr>
        <w:pStyle w:val="BodyText"/>
      </w:pPr>
      <w:r w:rsidRPr="00A25F2C">
        <w:t xml:space="preserve">Melbourne Water continues as the lead agency for implementing the </w:t>
      </w:r>
      <w:r w:rsidRPr="00A25F2C">
        <w:rPr>
          <w:i/>
        </w:rPr>
        <w:t xml:space="preserve">Yarra Strategic Plan </w:t>
      </w:r>
      <w:r w:rsidRPr="00A25F2C">
        <w:t>(</w:t>
      </w:r>
      <w:r w:rsidRPr="00A25F2C">
        <w:rPr>
          <w:i/>
        </w:rPr>
        <w:t>Burndap Birrarung burndap umarkoo</w:t>
      </w:r>
      <w:r w:rsidRPr="00A25F2C">
        <w:t>) 2022–2032. The plan is being delivered to protect and enhance the Yarra River and its parklands as one living and integrated natural entity in collaboration with 15 state and local government agencies and the Wurundjeri Woi Wurrung Cultural Heritage Aboriginal Corporation.</w:t>
      </w:r>
    </w:p>
    <w:p w14:paraId="75A9BCAE" w14:textId="0890B1E5" w:rsidR="00143D6B" w:rsidRDefault="007F4791" w:rsidP="007F4791">
      <w:pPr>
        <w:pStyle w:val="BodyText"/>
      </w:pPr>
      <w:r w:rsidRPr="00A25F2C">
        <w:t xml:space="preserve">As the </w:t>
      </w:r>
      <w:r w:rsidR="00322518">
        <w:t>Catchment Management Authority</w:t>
      </w:r>
      <w:r w:rsidRPr="00A25F2C">
        <w:t xml:space="preserve"> </w:t>
      </w:r>
      <w:r w:rsidR="00322518">
        <w:t xml:space="preserve">(CMA) </w:t>
      </w:r>
      <w:r w:rsidRPr="00A25F2C">
        <w:t xml:space="preserve">for Port Phillip and Westernport, Melbourne Water promotes integrated management of catchment and waterways functions across the region, including coordination and implementation of the </w:t>
      </w:r>
      <w:r w:rsidRPr="00A25F2C">
        <w:rPr>
          <w:i/>
        </w:rPr>
        <w:t>Regional Catchment Strategy</w:t>
      </w:r>
      <w:r w:rsidRPr="00A25F2C">
        <w:t>. This role provides an opportunity to strengthen the critical link between quality catchment management and waterway health outcomes.</w:t>
      </w:r>
    </w:p>
    <w:p w14:paraId="7DF619EF" w14:textId="687F45E8" w:rsidR="007F4791" w:rsidRPr="00A25F2C" w:rsidRDefault="007F4791" w:rsidP="00400086">
      <w:pPr>
        <w:pStyle w:val="PullBoxHeading"/>
        <w:pageBreakBefore/>
      </w:pPr>
      <w:r w:rsidRPr="00A25F2C">
        <w:lastRenderedPageBreak/>
        <w:t>Delivering for our customers</w:t>
      </w:r>
    </w:p>
    <w:p w14:paraId="654DD9F6" w14:textId="77777777" w:rsidR="007F4791" w:rsidRPr="00A25F2C" w:rsidRDefault="007F4791" w:rsidP="001F2C92">
      <w:pPr>
        <w:pStyle w:val="PullBox"/>
      </w:pPr>
      <w:r w:rsidRPr="00A25F2C">
        <w:t>Our commitments to our customers are:</w:t>
      </w:r>
    </w:p>
    <w:p w14:paraId="76AFA12F" w14:textId="77777777" w:rsidR="007F4791" w:rsidRPr="00A25F2C" w:rsidRDefault="007F4791" w:rsidP="001F2C92">
      <w:pPr>
        <w:pStyle w:val="PullBoxBullet"/>
      </w:pPr>
      <w:r w:rsidRPr="00A25F2C">
        <w:t>to meet 100% maintenance of river health at 10 target sites of high-value rating. We will continue to work with our stakeholders and partners to protect Melbourne’s rivers, creeks and bays and adopt a new lead indicator to highlight our focus on maintaining waterway health across Melbourne.</w:t>
      </w:r>
    </w:p>
    <w:p w14:paraId="4AC77AB7" w14:textId="77777777" w:rsidR="007F4791" w:rsidRPr="00A25F2C" w:rsidRDefault="007F4791" w:rsidP="001F2C92">
      <w:pPr>
        <w:pStyle w:val="PullBoxBullet"/>
      </w:pPr>
      <w:r w:rsidRPr="00A25F2C">
        <w:t xml:space="preserve">to maintain current active participation levels in our </w:t>
      </w:r>
      <w:proofErr w:type="gramStart"/>
      <w:r w:rsidRPr="00A25F2C">
        <w:t>waterways</w:t>
      </w:r>
      <w:proofErr w:type="gramEnd"/>
      <w:r w:rsidRPr="00A25F2C">
        <w:t xml:space="preserve"> programs. We will also continue to use our partnerships program to empower landholders, local </w:t>
      </w:r>
      <w:proofErr w:type="gramStart"/>
      <w:r w:rsidRPr="00A25F2C">
        <w:t>government</w:t>
      </w:r>
      <w:proofErr w:type="gramEnd"/>
      <w:r w:rsidRPr="00A25F2C">
        <w:t xml:space="preserve"> and community groups to deliver activities with positive impacts on the health of Melbourne’s waterways.</w:t>
      </w:r>
    </w:p>
    <w:p w14:paraId="61BB9505" w14:textId="77777777" w:rsidR="007F4791" w:rsidRPr="00A25F2C" w:rsidRDefault="007F4791" w:rsidP="001F2C92">
      <w:pPr>
        <w:pStyle w:val="PullBoxBullet"/>
      </w:pPr>
      <w:r w:rsidRPr="00A25F2C">
        <w:t xml:space="preserve">to capture and re-use 80 gigalitres of stormwater entering waterways through the </w:t>
      </w:r>
      <w:r w:rsidRPr="00A25F2C">
        <w:rPr>
          <w:i/>
        </w:rPr>
        <w:t>Healthy Waterways Strategy</w:t>
      </w:r>
      <w:r w:rsidRPr="00A25F2C">
        <w:t>.</w:t>
      </w:r>
    </w:p>
    <w:p w14:paraId="53990895" w14:textId="6202E0FF" w:rsidR="00143D6B" w:rsidRDefault="007F4791" w:rsidP="001F2C92">
      <w:pPr>
        <w:pStyle w:val="PullBoxBullet"/>
      </w:pPr>
      <w:r w:rsidRPr="00A25F2C">
        <w:t xml:space="preserve">to meet ≥7.5 </w:t>
      </w:r>
      <w:r w:rsidR="009448C3">
        <w:t>customer satisfaction</w:t>
      </w:r>
      <w:r w:rsidRPr="00A25F2C">
        <w:t xml:space="preserve"> by 2025-26 – waterways services. We will improve </w:t>
      </w:r>
      <w:r w:rsidR="009448C3">
        <w:t>customer satisfaction</w:t>
      </w:r>
      <w:r w:rsidRPr="00A25F2C">
        <w:t xml:space="preserve"> of our waterway services through a renewed focus on responsiveness and ease of doing business across each of our communication</w:t>
      </w:r>
      <w:r w:rsidR="001F2C92">
        <w:t xml:space="preserve"> channels</w:t>
      </w:r>
    </w:p>
    <w:p w14:paraId="204F7C5B" w14:textId="00F50A4E" w:rsidR="007F4791" w:rsidRPr="00A25F2C" w:rsidRDefault="007F4791" w:rsidP="001F2C92">
      <w:pPr>
        <w:pStyle w:val="Heading2"/>
      </w:pPr>
      <w:bookmarkStart w:id="10" w:name="_Toc147756858"/>
      <w:r w:rsidRPr="00A25F2C">
        <w:t xml:space="preserve">Our operating </w:t>
      </w:r>
      <w:r w:rsidRPr="001F2C92">
        <w:t>environment</w:t>
      </w:r>
      <w:bookmarkEnd w:id="10"/>
    </w:p>
    <w:p w14:paraId="24628348" w14:textId="77777777" w:rsidR="007F4791" w:rsidRPr="00A25F2C" w:rsidRDefault="007F4791" w:rsidP="007F4791">
      <w:pPr>
        <w:pStyle w:val="BodyText"/>
      </w:pPr>
      <w:r w:rsidRPr="00A25F2C">
        <w:t>Melbourne Water operates in a rapidly changing global environment. We know the operating environment in the coming decade will bring significant challenges, including climate change, population growth, rising cost of living and changing social expectations. In addition, demographic changes will radically shift where and how our communities live and what services they need.</w:t>
      </w:r>
    </w:p>
    <w:p w14:paraId="72531AEC" w14:textId="77777777" w:rsidR="007F4791" w:rsidRPr="00A25F2C" w:rsidRDefault="007F4791" w:rsidP="007F4791">
      <w:pPr>
        <w:pStyle w:val="BodyText"/>
      </w:pPr>
      <w:r w:rsidRPr="00A25F2C">
        <w:t xml:space="preserve">Melbourne Water continues to work with customers and community to strengthen strategies, </w:t>
      </w:r>
      <w:proofErr w:type="gramStart"/>
      <w:r w:rsidRPr="00A25F2C">
        <w:t>actions</w:t>
      </w:r>
      <w:proofErr w:type="gramEnd"/>
      <w:r w:rsidRPr="00A25F2C">
        <w:t xml:space="preserve"> and relationships to:</w:t>
      </w:r>
    </w:p>
    <w:p w14:paraId="793CD1A8" w14:textId="77777777" w:rsidR="007F4791" w:rsidRPr="00A25F2C" w:rsidRDefault="007F4791" w:rsidP="007F4791">
      <w:pPr>
        <w:pStyle w:val="ListBullet"/>
      </w:pPr>
      <w:r w:rsidRPr="00A25F2C">
        <w:t>respond to climate change, including our goal to reach net- zero emissions by 2030</w:t>
      </w:r>
    </w:p>
    <w:p w14:paraId="2D441909" w14:textId="77777777" w:rsidR="007F4791" w:rsidRPr="00A25F2C" w:rsidRDefault="007F4791" w:rsidP="00F13D2F">
      <w:pPr>
        <w:pStyle w:val="ListBullet"/>
        <w:numPr>
          <w:ilvl w:val="0"/>
          <w:numId w:val="16"/>
        </w:numPr>
      </w:pPr>
      <w:r w:rsidRPr="00A25F2C">
        <w:t>protect communities from the impacts of flooding, including proactive flood mitigation, community education and preparedness</w:t>
      </w:r>
    </w:p>
    <w:p w14:paraId="2881439D" w14:textId="77777777" w:rsidR="007F4791" w:rsidRPr="00A25F2C" w:rsidRDefault="007F4791" w:rsidP="007F4791">
      <w:pPr>
        <w:pStyle w:val="ListBullet"/>
      </w:pPr>
      <w:r w:rsidRPr="00A25F2C">
        <w:t xml:space="preserve">learn from the community’s experiences of the October 2022 floods and work together with our partner agencies to identify improvements to our cross-agency work to build community resilience, </w:t>
      </w:r>
      <w:proofErr w:type="gramStart"/>
      <w:r w:rsidRPr="00A25F2C">
        <w:t>awareness</w:t>
      </w:r>
      <w:proofErr w:type="gramEnd"/>
      <w:r w:rsidRPr="00A25F2C">
        <w:t xml:space="preserve"> and preparedness for future floods</w:t>
      </w:r>
    </w:p>
    <w:p w14:paraId="020BB39B" w14:textId="77777777" w:rsidR="007F4791" w:rsidRPr="00A25F2C" w:rsidRDefault="007F4791" w:rsidP="007F4791">
      <w:pPr>
        <w:pStyle w:val="ListBullet"/>
      </w:pPr>
      <w:r w:rsidRPr="00A25F2C">
        <w:t>drive sustainable practices through all our services and programs, including our financial strategy</w:t>
      </w:r>
    </w:p>
    <w:p w14:paraId="15F6056C" w14:textId="77777777" w:rsidR="007F4791" w:rsidRPr="00A25F2C" w:rsidRDefault="007F4791" w:rsidP="007F4791">
      <w:pPr>
        <w:pStyle w:val="ListBullet"/>
        <w:rPr>
          <w:i/>
        </w:rPr>
      </w:pPr>
      <w:r w:rsidRPr="00A25F2C">
        <w:t xml:space="preserve">work with government and industry to implement strategies including the </w:t>
      </w:r>
      <w:r w:rsidRPr="00A25F2C">
        <w:rPr>
          <w:i/>
        </w:rPr>
        <w:t xml:space="preserve">Central and Gippsland Region Sustainable Water Strategy </w:t>
      </w:r>
      <w:r w:rsidRPr="00A25F2C">
        <w:t xml:space="preserve">(CGRSWS) and the </w:t>
      </w:r>
      <w:r w:rsidRPr="00A25F2C">
        <w:rPr>
          <w:i/>
        </w:rPr>
        <w:t>Water for Life</w:t>
      </w:r>
    </w:p>
    <w:p w14:paraId="1A3AB7FC" w14:textId="77777777" w:rsidR="007F4791" w:rsidRPr="00A25F2C" w:rsidRDefault="007F4791" w:rsidP="007F4791">
      <w:pPr>
        <w:pStyle w:val="ListBullet"/>
      </w:pPr>
      <w:r w:rsidRPr="00A25F2C">
        <w:t>continue our community engagement commitments and deliver water education</w:t>
      </w:r>
    </w:p>
    <w:p w14:paraId="59B10E6B" w14:textId="77777777" w:rsidR="007F4791" w:rsidRPr="00A25F2C" w:rsidRDefault="007F4791" w:rsidP="007F4791">
      <w:pPr>
        <w:pStyle w:val="ListBullet"/>
      </w:pPr>
      <w:r w:rsidRPr="00A25F2C">
        <w:t>deliver on services and projects as outlined in the current price submission, including our commitment to keeping water bills stable in the face of ongoing inflationary pressures.</w:t>
      </w:r>
    </w:p>
    <w:p w14:paraId="5729C625" w14:textId="77777777" w:rsidR="007F4791" w:rsidRPr="00A25F2C" w:rsidRDefault="007F4791" w:rsidP="004C0356">
      <w:pPr>
        <w:pStyle w:val="Heading3"/>
      </w:pPr>
      <w:bookmarkStart w:id="11" w:name="_Toc147756859"/>
      <w:r w:rsidRPr="00A25F2C">
        <w:t>Climate change</w:t>
      </w:r>
      <w:bookmarkEnd w:id="11"/>
    </w:p>
    <w:p w14:paraId="78A36290" w14:textId="77777777" w:rsidR="007F4791" w:rsidRPr="00A25F2C" w:rsidRDefault="007F4791" w:rsidP="007F4791">
      <w:pPr>
        <w:pStyle w:val="BodyText"/>
      </w:pPr>
      <w:r w:rsidRPr="00A25F2C">
        <w:t>As global temperatures continue to rise, and the prevalence of extreme climate conditions increases, the water sector must prioritise preparedness and resilience planning, and risk mitigation to manage the impacts of climate change.</w:t>
      </w:r>
    </w:p>
    <w:p w14:paraId="0D617A41" w14:textId="611FA99F" w:rsidR="007F4791" w:rsidRPr="00A25F2C" w:rsidRDefault="007F4791" w:rsidP="007F4791">
      <w:pPr>
        <w:pStyle w:val="BodyText"/>
      </w:pPr>
      <w:r w:rsidRPr="00A25F2C">
        <w:t>At Melbourne Water, we are working towards our goal of becoming a net-zero emissions business by 2030</w:t>
      </w:r>
      <w:r w:rsidR="004C0356">
        <w:t xml:space="preserve"> </w:t>
      </w:r>
      <w:r w:rsidRPr="00A25F2C">
        <w:t>in line with our Statement of Obligations (Emissions Reduction). We are committed to managing the impacts of a changing climate and building resilience by developing further diversity in our water sources.</w:t>
      </w:r>
    </w:p>
    <w:p w14:paraId="6F9BC51C" w14:textId="77777777" w:rsidR="007F4791" w:rsidRPr="00A25F2C" w:rsidRDefault="007F4791" w:rsidP="007F4791">
      <w:pPr>
        <w:pStyle w:val="BodyText"/>
      </w:pPr>
      <w:r w:rsidRPr="00A25F2C">
        <w:lastRenderedPageBreak/>
        <w:t xml:space="preserve">Melbourne Water’s key priorities of maintaining access to safe and affordable water, sewerage, </w:t>
      </w:r>
      <w:proofErr w:type="gramStart"/>
      <w:r w:rsidRPr="00A25F2C">
        <w:t>waterways</w:t>
      </w:r>
      <w:proofErr w:type="gramEnd"/>
      <w:r w:rsidRPr="00A25F2C">
        <w:t xml:space="preserve"> and drainage services, and protecting and preserving a thriving natural environment, are all directly impacted by climate change.</w:t>
      </w:r>
    </w:p>
    <w:p w14:paraId="45E5B789" w14:textId="77777777" w:rsidR="007F4791" w:rsidRPr="00A25F2C" w:rsidRDefault="007F4791" w:rsidP="007F4791">
      <w:pPr>
        <w:pStyle w:val="BodyText"/>
      </w:pPr>
      <w:r w:rsidRPr="00A25F2C">
        <w:t>Climate change also contributes to the loss of biodiversity and rises in sea level. The services provided by Melbourne Water, and the water sector more broadly, are affected by these impacts.</w:t>
      </w:r>
    </w:p>
    <w:p w14:paraId="43160599" w14:textId="77777777" w:rsidR="00143D6B" w:rsidRDefault="007F4791" w:rsidP="007F4791">
      <w:pPr>
        <w:pStyle w:val="BodyText"/>
      </w:pPr>
      <w:r w:rsidRPr="00A25F2C">
        <w:t>We are committed to reducing our greenhouse gas emissions and building resilience into our systems.</w:t>
      </w:r>
    </w:p>
    <w:p w14:paraId="2A8BD40D" w14:textId="01B976FA" w:rsidR="007F4791" w:rsidRPr="00A25F2C" w:rsidRDefault="007F4791" w:rsidP="004C0356">
      <w:pPr>
        <w:pStyle w:val="Heading3"/>
      </w:pPr>
      <w:bookmarkStart w:id="12" w:name="_Toc147756860"/>
      <w:r w:rsidRPr="00A25F2C">
        <w:t>Managing the cost-of-living impacts</w:t>
      </w:r>
      <w:bookmarkEnd w:id="12"/>
    </w:p>
    <w:p w14:paraId="5152C0E7" w14:textId="77777777" w:rsidR="007F4791" w:rsidRPr="00A25F2C" w:rsidRDefault="007F4791" w:rsidP="007F4791">
      <w:pPr>
        <w:pStyle w:val="BodyText"/>
      </w:pPr>
      <w:r w:rsidRPr="00A25F2C">
        <w:t>Melbourne Water stands by its commitment to keep bills as low as possible by delivering the services our customers and community value. Upward pressure on household budgets driven by increasing inflation and interest rates are intensifying the challenge, and we understand our critical role in supporting customer affordability.</w:t>
      </w:r>
    </w:p>
    <w:p w14:paraId="6EBF3103" w14:textId="77777777" w:rsidR="007F4791" w:rsidRPr="00A25F2C" w:rsidRDefault="007F4791" w:rsidP="007F4791">
      <w:pPr>
        <w:pStyle w:val="BodyText"/>
      </w:pPr>
      <w:r w:rsidRPr="00A25F2C">
        <w:t>Risks and opportunities will evolve over time, requiring us to remain agile and open to change to ensure we continue to provide high-quality services to our customers and communities.</w:t>
      </w:r>
    </w:p>
    <w:p w14:paraId="151E540A" w14:textId="5F5E9B36" w:rsidR="007F4791" w:rsidRPr="00A25F2C" w:rsidRDefault="007F4791" w:rsidP="007F4791">
      <w:pPr>
        <w:pStyle w:val="BodyText"/>
      </w:pPr>
      <w:r w:rsidRPr="00A25F2C">
        <w:t>Melbourne Water continues to contribute to Victoria’s recovery from COVID-19 and looks for new ways to deliver value to Victoria through innovation, future planning</w:t>
      </w:r>
      <w:r w:rsidR="004C0356">
        <w:t xml:space="preserve"> </w:t>
      </w:r>
      <w:r w:rsidRPr="00A25F2C">
        <w:t xml:space="preserve">and embracing new frontiers. We are investing in new ways to support the circular economy, Integrated Water </w:t>
      </w:r>
      <w:proofErr w:type="gramStart"/>
      <w:r w:rsidRPr="00A25F2C">
        <w:t>Management</w:t>
      </w:r>
      <w:proofErr w:type="gramEnd"/>
      <w:r w:rsidRPr="00A25F2C">
        <w:t xml:space="preserve"> and innovative ways of working, to ensure that Melbourne Water remains a forward-thinking organisation.</w:t>
      </w:r>
    </w:p>
    <w:p w14:paraId="478AB024" w14:textId="77777777" w:rsidR="007F4791" w:rsidRPr="00A25F2C" w:rsidRDefault="007F4791" w:rsidP="007F4791">
      <w:pPr>
        <w:pStyle w:val="BodyText"/>
      </w:pPr>
      <w:r w:rsidRPr="00A25F2C">
        <w:t xml:space="preserve">We are focused on delivering our services as efficiently as possible and delivering maximum value for money outcomes to customers. Driving improved commercial results remains a key focus for Melbourne Water, with particular focus on procurement initiatives across the </w:t>
      </w:r>
      <w:r w:rsidRPr="00A25F2C">
        <w:rPr>
          <w:i/>
        </w:rPr>
        <w:t xml:space="preserve">Corporate Plan </w:t>
      </w:r>
      <w:r w:rsidRPr="00A25F2C">
        <w:t>period.</w:t>
      </w:r>
    </w:p>
    <w:p w14:paraId="2E942ADF" w14:textId="5C527956" w:rsidR="007F4791" w:rsidRPr="00A25F2C" w:rsidRDefault="007F4791" w:rsidP="004C0356">
      <w:pPr>
        <w:pStyle w:val="Heading3"/>
      </w:pPr>
      <w:bookmarkStart w:id="13" w:name="_Toc147756861"/>
      <w:r w:rsidRPr="00A25F2C">
        <w:t>Delivering on statewide policies and strategies</w:t>
      </w:r>
      <w:bookmarkEnd w:id="13"/>
    </w:p>
    <w:p w14:paraId="053D8608" w14:textId="77777777" w:rsidR="007F4791" w:rsidRPr="00A25F2C" w:rsidRDefault="007F4791" w:rsidP="007F4791">
      <w:pPr>
        <w:pStyle w:val="BodyText"/>
      </w:pPr>
      <w:r w:rsidRPr="00A25F2C">
        <w:t>Melbourne Water works closely with the Victorian Government and the Department of Environment, Energy and Climate Action (DEECA) to deliver our statutory obligations in compliance with a comprehensive framework of legislation and regulation.</w:t>
      </w:r>
    </w:p>
    <w:p w14:paraId="244B8C4B" w14:textId="77777777" w:rsidR="007F4791" w:rsidRPr="00A25F2C" w:rsidRDefault="007F4791" w:rsidP="007F4791">
      <w:pPr>
        <w:pStyle w:val="BodyText"/>
      </w:pPr>
      <w:r w:rsidRPr="00A25F2C">
        <w:t xml:space="preserve">The Victorian Government’s </w:t>
      </w:r>
      <w:r w:rsidRPr="00A25F2C">
        <w:rPr>
          <w:i/>
        </w:rPr>
        <w:t xml:space="preserve">Water for Victoria </w:t>
      </w:r>
      <w:r w:rsidRPr="00A25F2C">
        <w:t>strategy provides the state’s water industry with a clear set of high-level policy and a long-term strategic plan for water management.</w:t>
      </w:r>
    </w:p>
    <w:p w14:paraId="0151D33F" w14:textId="3684BF30" w:rsidR="007F4791" w:rsidRPr="00A25F2C" w:rsidRDefault="007F4791" w:rsidP="007F4791">
      <w:pPr>
        <w:pStyle w:val="BodyText"/>
      </w:pPr>
      <w:r w:rsidRPr="00A25F2C">
        <w:t xml:space="preserve">Underpinning </w:t>
      </w:r>
      <w:r w:rsidRPr="00A25F2C">
        <w:rPr>
          <w:i/>
        </w:rPr>
        <w:t>Water for Victoria</w:t>
      </w:r>
      <w:r w:rsidRPr="00A25F2C">
        <w:t xml:space="preserve">, Melbourne Water welcomes the implementation of the updated </w:t>
      </w:r>
      <w:r w:rsidR="00E23BDC">
        <w:t>Central and Gippsland Region Sustainable Water Strategy</w:t>
      </w:r>
      <w:r w:rsidRPr="00A25F2C">
        <w:t xml:space="preserve">, which establishes the path towards the greater use of manufactured water, the delivery of more water for the environment, an increased uptake of </w:t>
      </w:r>
      <w:r w:rsidR="00E23BDC">
        <w:t>Integrated Water Management</w:t>
      </w:r>
      <w:r w:rsidRPr="00A25F2C">
        <w:t xml:space="preserve"> and the creation of water entitlements for Traditional Owners.</w:t>
      </w:r>
    </w:p>
    <w:p w14:paraId="3B21BBA1" w14:textId="1C75FCAE" w:rsidR="007F4791" w:rsidRPr="00A25F2C" w:rsidRDefault="007F4791" w:rsidP="007F4791">
      <w:pPr>
        <w:pStyle w:val="BodyText"/>
      </w:pPr>
      <w:r w:rsidRPr="00A25F2C">
        <w:t xml:space="preserve">As a flow on from the </w:t>
      </w:r>
      <w:r w:rsidR="00E23BDC">
        <w:t>Central and Gippsland Region Sustainable Water Strategy</w:t>
      </w:r>
      <w:r w:rsidRPr="00A25F2C">
        <w:t xml:space="preserve">, the development of </w:t>
      </w:r>
      <w:r w:rsidRPr="00A25F2C">
        <w:rPr>
          <w:i/>
        </w:rPr>
        <w:t xml:space="preserve">Water for Life </w:t>
      </w:r>
      <w:r w:rsidRPr="00A25F2C">
        <w:t>is a significant step forward in collaboration with the water sector. Unlike previous years, when separate strategies were developed to manage our water system, the region now has a shared approach based on what is good for the whole system and the community.</w:t>
      </w:r>
    </w:p>
    <w:p w14:paraId="1827DB9F" w14:textId="621862E0" w:rsidR="007F4791" w:rsidRPr="00A25F2C" w:rsidRDefault="007F4791" w:rsidP="007F4791">
      <w:pPr>
        <w:pStyle w:val="BodyText"/>
      </w:pPr>
      <w:r w:rsidRPr="00A25F2C">
        <w:t xml:space="preserve">Melbourne Water is committed to the strategic directions of the </w:t>
      </w:r>
      <w:r w:rsidR="00E23BDC">
        <w:t>Central and Gippsland Region Sustainable Water Strategy</w:t>
      </w:r>
      <w:r w:rsidRPr="00A25F2C">
        <w:t xml:space="preserve"> and </w:t>
      </w:r>
      <w:r w:rsidRPr="00A25F2C">
        <w:rPr>
          <w:i/>
        </w:rPr>
        <w:t xml:space="preserve">Water for Life </w:t>
      </w:r>
      <w:r w:rsidRPr="00A25F2C">
        <w:t>and will work with the sector to deliver actions stemming from these key strategies to ensure our region is prepared for future water challenges. We will do this by:</w:t>
      </w:r>
    </w:p>
    <w:p w14:paraId="4C211051" w14:textId="77777777" w:rsidR="007F4791" w:rsidRPr="00A25F2C" w:rsidRDefault="007F4791" w:rsidP="007F4791">
      <w:pPr>
        <w:pStyle w:val="ListBullet"/>
      </w:pPr>
      <w:r w:rsidRPr="00A25F2C">
        <w:t>leading the planning and transition towards more manufactured water for the region, including the development of a clear augmentation decision framework</w:t>
      </w:r>
    </w:p>
    <w:p w14:paraId="2B7BDE0D" w14:textId="77777777" w:rsidR="007F4791" w:rsidRPr="00A25F2C" w:rsidRDefault="007F4791" w:rsidP="007F4791">
      <w:pPr>
        <w:pStyle w:val="ListBullet"/>
      </w:pPr>
      <w:r w:rsidRPr="00A25F2C">
        <w:t xml:space="preserve">exploring, </w:t>
      </w:r>
      <w:proofErr w:type="gramStart"/>
      <w:r w:rsidRPr="00A25F2C">
        <w:t>supporting</w:t>
      </w:r>
      <w:proofErr w:type="gramEnd"/>
      <w:r w:rsidRPr="00A25F2C">
        <w:t xml:space="preserve"> and delivering environmental and Traditional Owner water returns</w:t>
      </w:r>
    </w:p>
    <w:p w14:paraId="4A025E68" w14:textId="77777777" w:rsidR="007F4791" w:rsidRPr="00A25F2C" w:rsidRDefault="007F4791" w:rsidP="007F4791">
      <w:pPr>
        <w:pStyle w:val="ListBullet"/>
      </w:pPr>
      <w:r w:rsidRPr="00A25F2C">
        <w:lastRenderedPageBreak/>
        <w:t xml:space="preserve">delivering a joint </w:t>
      </w:r>
      <w:r w:rsidRPr="00A25F2C">
        <w:rPr>
          <w:i/>
        </w:rPr>
        <w:t xml:space="preserve">Water Efficiency Plan </w:t>
      </w:r>
      <w:r w:rsidRPr="00A25F2C">
        <w:t>to increase our focus on water conservation and cost-effective water savings</w:t>
      </w:r>
    </w:p>
    <w:p w14:paraId="4733D82F" w14:textId="6BAADBDB" w:rsidR="00143D6B" w:rsidRDefault="007F4791" w:rsidP="007F4791">
      <w:pPr>
        <w:pStyle w:val="ListBullet"/>
      </w:pPr>
      <w:r w:rsidRPr="00A25F2C">
        <w:t xml:space="preserve">supporting the development of catchment scale </w:t>
      </w:r>
      <w:r w:rsidR="00E23BDC">
        <w:t>Integrated Water Management</w:t>
      </w:r>
      <w:r w:rsidRPr="00A25F2C">
        <w:t xml:space="preserve"> plans and delivering the subsequent </w:t>
      </w:r>
      <w:r w:rsidR="00E23BDC">
        <w:t>Integrated Water Management</w:t>
      </w:r>
      <w:r w:rsidRPr="00A25F2C">
        <w:t xml:space="preserve"> action plans, including leading system-scale stormwater management planning.</w:t>
      </w:r>
    </w:p>
    <w:p w14:paraId="50042340" w14:textId="77777777" w:rsidR="007F4791" w:rsidRPr="00A25F2C" w:rsidRDefault="007F4791" w:rsidP="004C0356">
      <w:pPr>
        <w:pStyle w:val="Heading3"/>
      </w:pPr>
      <w:bookmarkStart w:id="14" w:name="_Toc147756862"/>
      <w:r w:rsidRPr="00A25F2C">
        <w:t>Working with Traditional Owners</w:t>
      </w:r>
      <w:bookmarkEnd w:id="14"/>
    </w:p>
    <w:p w14:paraId="444A9515" w14:textId="40385FFC" w:rsidR="007F4791" w:rsidRPr="00A25F2C" w:rsidRDefault="007F4791" w:rsidP="007F4791">
      <w:pPr>
        <w:pStyle w:val="BodyText"/>
      </w:pPr>
      <w:r w:rsidRPr="00A25F2C">
        <w:t xml:space="preserve">Victoria’s Traditional Owners have sustainably managed land and water for thousands of generations. Their cultural, </w:t>
      </w:r>
      <w:proofErr w:type="gramStart"/>
      <w:r w:rsidRPr="00A25F2C">
        <w:t>spiritual</w:t>
      </w:r>
      <w:proofErr w:type="gramEnd"/>
      <w:r w:rsidRPr="00A25F2C">
        <w:t xml:space="preserve"> and economic connection to land, water and resources remains strong through their relationship to Country. In delivering our organisational goal ‘We will walk Country together’ we are committed to working collaboratively with Traditional Owners in a way that builds partnerships and supports Aboriginal</w:t>
      </w:r>
      <w:r w:rsidR="004C0356">
        <w:t xml:space="preserve"> </w:t>
      </w:r>
      <w:r w:rsidRPr="00A25F2C">
        <w:t>self-determination and Aboriginal participation in water management.</w:t>
      </w:r>
    </w:p>
    <w:p w14:paraId="7C460D95" w14:textId="77777777" w:rsidR="007F4791" w:rsidRPr="00A25F2C" w:rsidRDefault="007F4791" w:rsidP="007F4791">
      <w:pPr>
        <w:pStyle w:val="BodyText"/>
      </w:pPr>
      <w:r w:rsidRPr="00A25F2C">
        <w:t>Melbourne Water will also continue to take a proactive position on Melbourne’s water industry response to the Victorian State Government’s Yoorrook Justice Commission through our lead role to coordinate our response to the Commission and any requests for information and input. An important part of the Yoorrook progression is cultural safety for all participants and to improve cultural awareness for Melbourne Water staff about the Commission and its process. We continue to work with the broader water industry in Melbourne to ensure a coordinated and effective response to requests from the Commission and to ensure we have a strategic and well-developed view of issues it has raised.</w:t>
      </w:r>
    </w:p>
    <w:p w14:paraId="22EA1B54" w14:textId="06C4CA8D" w:rsidR="00143D6B" w:rsidRDefault="007F4791" w:rsidP="007F4791">
      <w:pPr>
        <w:pStyle w:val="BodyText"/>
      </w:pPr>
      <w:r w:rsidRPr="00A25F2C">
        <w:t>Melbourne Water continues to keep up to date with emerging policy issues that may flow through to the Treaty process.</w:t>
      </w:r>
      <w:r w:rsidR="004C0356">
        <w:t xml:space="preserve"> </w:t>
      </w:r>
      <w:r w:rsidRPr="00A25F2C">
        <w:t>Taking a proactive and responsive approach to both the Commission and Treaty work in Victoria will support the delivery of Traditional Owner self-determination and water justice.</w:t>
      </w:r>
    </w:p>
    <w:p w14:paraId="2DDDEB76" w14:textId="4E0EA559" w:rsidR="007F4791" w:rsidRPr="00A25F2C" w:rsidRDefault="007F4791" w:rsidP="004C0356">
      <w:pPr>
        <w:pStyle w:val="Heading3"/>
      </w:pPr>
      <w:bookmarkStart w:id="15" w:name="_Toc147756863"/>
      <w:r w:rsidRPr="00A25F2C">
        <w:t>The Accord</w:t>
      </w:r>
      <w:bookmarkEnd w:id="15"/>
    </w:p>
    <w:p w14:paraId="359EE815" w14:textId="77777777" w:rsidR="007F4791" w:rsidRPr="00A25F2C" w:rsidRDefault="007F4791" w:rsidP="007F4791">
      <w:pPr>
        <w:pStyle w:val="BodyText"/>
      </w:pPr>
      <w:r w:rsidRPr="00A25F2C">
        <w:t xml:space="preserve">As a sector, we realise the big challenges ahead are better faced together. Therefore, the managing directors of Melbourne Water, </w:t>
      </w:r>
      <w:proofErr w:type="gramStart"/>
      <w:r w:rsidRPr="00A25F2C">
        <w:t>South East</w:t>
      </w:r>
      <w:proofErr w:type="gramEnd"/>
      <w:r w:rsidRPr="00A25F2C">
        <w:t xml:space="preserve"> Water, Yarra Valley Water, Greater Western Water and Barwon Water have entered into an industry-first agreement, The Accord.</w:t>
      </w:r>
    </w:p>
    <w:p w14:paraId="2C3A3BC8" w14:textId="77777777" w:rsidR="007F4791" w:rsidRPr="00A25F2C" w:rsidRDefault="007F4791" w:rsidP="007F4791">
      <w:pPr>
        <w:pStyle w:val="BodyText"/>
      </w:pPr>
      <w:r w:rsidRPr="00A25F2C">
        <w:t>The Accord is a shared vision for the sector and agreed principles to govern how we work together on difficult issues, including water security, partnering with Traditional Owners, building water literacy and efficiency, and meeting the challenges of climate change and resilience.</w:t>
      </w:r>
    </w:p>
    <w:p w14:paraId="51142C71" w14:textId="77777777" w:rsidR="007F4791" w:rsidRPr="00A25F2C" w:rsidRDefault="007F4791" w:rsidP="007F4791">
      <w:pPr>
        <w:pStyle w:val="BodyText"/>
      </w:pPr>
      <w:r w:rsidRPr="00A25F2C">
        <w:t>The Accord commits us to collaboratively act in the best overall interests of our communities, supporting cost-effective, equitable outcomes for now and future generations.</w:t>
      </w:r>
    </w:p>
    <w:p w14:paraId="1B2D797F" w14:textId="6332BDD9" w:rsidR="00143D6B" w:rsidRDefault="007F4791" w:rsidP="007F4791">
      <w:pPr>
        <w:pStyle w:val="BodyText"/>
      </w:pPr>
      <w:r w:rsidRPr="00A25F2C">
        <w:t xml:space="preserve">Over the past year, increasing collaboration between our businesses has seen the development of regular strategic forums. These forums are an opportunity to bring shared issues to the table to work towards solutions together that </w:t>
      </w:r>
      <w:r w:rsidRPr="004C0356">
        <w:t>generate</w:t>
      </w:r>
      <w:r w:rsidR="004C0356" w:rsidRPr="004C0356">
        <w:t xml:space="preserve"> community value.</w:t>
      </w:r>
    </w:p>
    <w:p w14:paraId="0FA6B21B" w14:textId="35F1B81A" w:rsidR="007F4791" w:rsidRPr="00A25F2C" w:rsidRDefault="007F4791" w:rsidP="007F4791">
      <w:pPr>
        <w:pStyle w:val="Heading2"/>
      </w:pPr>
      <w:bookmarkStart w:id="16" w:name="_Toc147756864"/>
      <w:r w:rsidRPr="00A25F2C">
        <w:t>Our strategic intent</w:t>
      </w:r>
      <w:bookmarkEnd w:id="16"/>
    </w:p>
    <w:p w14:paraId="090B79B3" w14:textId="77777777" w:rsidR="007F4791" w:rsidRPr="00A25F2C" w:rsidRDefault="007F4791" w:rsidP="007F4791">
      <w:pPr>
        <w:pStyle w:val="BodyText"/>
      </w:pPr>
      <w:r w:rsidRPr="00A25F2C">
        <w:t>The coming decade is recognised as one which signals a transition for the water sector as it adapts to climate change and population growth.</w:t>
      </w:r>
    </w:p>
    <w:p w14:paraId="18486ADF" w14:textId="77777777" w:rsidR="007F4791" w:rsidRPr="00A25F2C" w:rsidRDefault="007F4791" w:rsidP="007F4791">
      <w:pPr>
        <w:pStyle w:val="BodyText"/>
      </w:pPr>
      <w:r w:rsidRPr="00A25F2C">
        <w:t xml:space="preserve">Melbourne Water’s role within the sector provides us with a unique position to navigate a path that meets the region’s water needs, optimises our use and re-use of resources, preserves the natural environment, sustains the liveability of our </w:t>
      </w:r>
      <w:proofErr w:type="gramStart"/>
      <w:r w:rsidRPr="00A25F2C">
        <w:t>region</w:t>
      </w:r>
      <w:proofErr w:type="gramEnd"/>
      <w:r w:rsidRPr="00A25F2C">
        <w:t xml:space="preserve"> and provides trusted collaborative leadership.</w:t>
      </w:r>
    </w:p>
    <w:p w14:paraId="2D38B23F" w14:textId="77777777" w:rsidR="007F4791" w:rsidRPr="00A25F2C" w:rsidRDefault="007F4791" w:rsidP="007F4791">
      <w:pPr>
        <w:pStyle w:val="BodyText"/>
      </w:pPr>
      <w:r w:rsidRPr="00A25F2C">
        <w:lastRenderedPageBreak/>
        <w:t>Melbourne Water has developed – and is working towards achieving – a set of aspirational goals to 2027 that aim to catalyse the change needed. Achieving these goals will put us in a strong position to meet the opportunities and respond to the challenges of the next decade.</w:t>
      </w:r>
    </w:p>
    <w:p w14:paraId="731AEE6E" w14:textId="77777777" w:rsidR="007F4791" w:rsidRPr="00A25F2C" w:rsidRDefault="007F4791" w:rsidP="007F4791">
      <w:pPr>
        <w:pStyle w:val="BodyText"/>
      </w:pPr>
      <w:r w:rsidRPr="00A25F2C">
        <w:t xml:space="preserve">In addition, our strategic goals will drive our capability development, </w:t>
      </w:r>
      <w:proofErr w:type="gramStart"/>
      <w:r w:rsidRPr="00A25F2C">
        <w:t>investment</w:t>
      </w:r>
      <w:proofErr w:type="gramEnd"/>
      <w:r w:rsidRPr="00A25F2C">
        <w:t xml:space="preserve"> and performance over the next five years.</w:t>
      </w:r>
    </w:p>
    <w:p w14:paraId="26574640" w14:textId="77777777" w:rsidR="007F4791" w:rsidRPr="00A25F2C" w:rsidRDefault="007F4791" w:rsidP="00443124">
      <w:pPr>
        <w:pStyle w:val="BodyTextBold"/>
      </w:pPr>
      <w:r w:rsidRPr="00443124">
        <w:t>Outcome goals</w:t>
      </w:r>
    </w:p>
    <w:p w14:paraId="7F683B81" w14:textId="77777777" w:rsidR="00143D6B" w:rsidRDefault="007F4791" w:rsidP="009A01E7">
      <w:pPr>
        <w:pStyle w:val="ListBullet"/>
      </w:pPr>
      <w:r w:rsidRPr="00A25F2C">
        <w:t>Keep our core services strong today, building resilience for future changes</w:t>
      </w:r>
    </w:p>
    <w:p w14:paraId="6E2A2F5A" w14:textId="77777777" w:rsidR="00143D6B" w:rsidRDefault="007F4791" w:rsidP="009A01E7">
      <w:pPr>
        <w:pStyle w:val="ListBullet"/>
      </w:pPr>
      <w:r w:rsidRPr="00A25F2C">
        <w:t>We will walk Country together</w:t>
      </w:r>
    </w:p>
    <w:p w14:paraId="16811A3D" w14:textId="3B52AFAC" w:rsidR="007F4791" w:rsidRPr="00A25F2C" w:rsidRDefault="007F4791" w:rsidP="009A01E7">
      <w:pPr>
        <w:pStyle w:val="ListBullet"/>
      </w:pPr>
      <w:r w:rsidRPr="00A25F2C">
        <w:t xml:space="preserve">Boldly progress towards decarbonisation and become leaders in climate change mitigation, </w:t>
      </w:r>
      <w:proofErr w:type="gramStart"/>
      <w:r w:rsidRPr="00A25F2C">
        <w:t>adaptation</w:t>
      </w:r>
      <w:proofErr w:type="gramEnd"/>
      <w:r w:rsidRPr="00A25F2C">
        <w:t xml:space="preserve"> and planning</w:t>
      </w:r>
    </w:p>
    <w:p w14:paraId="111C6A7C" w14:textId="77777777" w:rsidR="00143D6B" w:rsidRDefault="007F4791" w:rsidP="009A01E7">
      <w:pPr>
        <w:pStyle w:val="ListBullet"/>
      </w:pPr>
      <w:r w:rsidRPr="00A25F2C">
        <w:t>Embed Integrated Water Management</w:t>
      </w:r>
    </w:p>
    <w:p w14:paraId="60D78620" w14:textId="77777777" w:rsidR="00143D6B" w:rsidRDefault="007F4791" w:rsidP="009A01E7">
      <w:pPr>
        <w:pStyle w:val="ListBullet"/>
      </w:pPr>
      <w:r w:rsidRPr="00A25F2C">
        <w:t>Focus on new water and enhancing the value created</w:t>
      </w:r>
    </w:p>
    <w:p w14:paraId="416ABA6F" w14:textId="434B91A1" w:rsidR="00143D6B" w:rsidRDefault="007F4791" w:rsidP="009A01E7">
      <w:pPr>
        <w:pStyle w:val="ListBullet"/>
      </w:pPr>
      <w:r w:rsidRPr="00A25F2C">
        <w:t>Step beyond resource recovery to a central role in the waste sector, driving resource recovery and delivering more recycled water</w:t>
      </w:r>
      <w:r w:rsidR="00400086">
        <w:t>.</w:t>
      </w:r>
    </w:p>
    <w:p w14:paraId="2E780227" w14:textId="4506D87F" w:rsidR="007F4791" w:rsidRPr="00A25F2C" w:rsidRDefault="007F4791" w:rsidP="00443124">
      <w:pPr>
        <w:pStyle w:val="BodyTextBold"/>
      </w:pPr>
      <w:r w:rsidRPr="00443124">
        <w:t>Enabling goals</w:t>
      </w:r>
    </w:p>
    <w:p w14:paraId="5D14A65C" w14:textId="77777777" w:rsidR="00143D6B" w:rsidRDefault="007F4791" w:rsidP="009A01E7">
      <w:pPr>
        <w:pStyle w:val="ListBullet"/>
      </w:pPr>
      <w:r w:rsidRPr="00A25F2C">
        <w:t>Manage and govern our business to support a high performance organisation</w:t>
      </w:r>
    </w:p>
    <w:p w14:paraId="50964569" w14:textId="77777777" w:rsidR="00143D6B" w:rsidRDefault="007F4791" w:rsidP="009A01E7">
      <w:pPr>
        <w:pStyle w:val="ListBullet"/>
      </w:pPr>
      <w:r w:rsidRPr="00A25F2C">
        <w:t>Financial strength</w:t>
      </w:r>
    </w:p>
    <w:p w14:paraId="32451CBA" w14:textId="451EB0FE" w:rsidR="007F4791" w:rsidRPr="00A25F2C" w:rsidRDefault="007F4791" w:rsidP="009A01E7">
      <w:pPr>
        <w:pStyle w:val="ListBullet"/>
      </w:pPr>
      <w:r w:rsidRPr="00A25F2C">
        <w:t>Build influential relationships</w:t>
      </w:r>
      <w:r w:rsidR="00400086">
        <w:t>.</w:t>
      </w:r>
    </w:p>
    <w:p w14:paraId="4373F35B" w14:textId="30C12745" w:rsidR="007F4791" w:rsidRPr="00A25F2C" w:rsidRDefault="007F4791" w:rsidP="00CA7A2A">
      <w:pPr>
        <w:pStyle w:val="Heading3"/>
      </w:pPr>
      <w:bookmarkStart w:id="17" w:name="_Toc147756865"/>
      <w:r w:rsidRPr="00A25F2C">
        <w:t>Delivering on Water for Victoria</w:t>
      </w:r>
      <w:bookmarkEnd w:id="17"/>
    </w:p>
    <w:p w14:paraId="524BD43B" w14:textId="77777777" w:rsidR="007F4791" w:rsidRPr="00A25F2C" w:rsidRDefault="007F4791" w:rsidP="007F4791">
      <w:pPr>
        <w:pStyle w:val="BodyText"/>
      </w:pPr>
      <w:r w:rsidRPr="00A25F2C">
        <w:t>Melbourne Water works closely with the Victorian Government to deliver our statutory obligations in compliance with a comprehensive framework of legislation and regulation.</w:t>
      </w:r>
    </w:p>
    <w:p w14:paraId="4219C409" w14:textId="77777777" w:rsidR="007F4791" w:rsidRPr="00A25F2C" w:rsidRDefault="007F4791" w:rsidP="007F4791">
      <w:pPr>
        <w:pStyle w:val="BodyText"/>
      </w:pPr>
      <w:r w:rsidRPr="00A25F2C">
        <w:t xml:space="preserve">Our services have been crucial in helping Melbourne grow into the city it is today. Building on this legacy, </w:t>
      </w:r>
      <w:r w:rsidRPr="00A25F2C">
        <w:rPr>
          <w:i/>
        </w:rPr>
        <w:t xml:space="preserve">Water for Victoria </w:t>
      </w:r>
      <w:r w:rsidRPr="00A25F2C">
        <w:t xml:space="preserve">provides the water industry with a clear set of priorities for delivering services into the future. Our </w:t>
      </w:r>
      <w:r w:rsidRPr="00A25F2C">
        <w:rPr>
          <w:i/>
        </w:rPr>
        <w:t xml:space="preserve">Corporate Plan </w:t>
      </w:r>
      <w:r w:rsidRPr="00A25F2C">
        <w:t xml:space="preserve">highlights where our priorities deliver on actions within </w:t>
      </w:r>
      <w:r w:rsidRPr="00A25F2C">
        <w:rPr>
          <w:i/>
        </w:rPr>
        <w:t>Water for Victoria</w:t>
      </w:r>
      <w:r w:rsidRPr="00A25F2C">
        <w:t>.</w:t>
      </w:r>
    </w:p>
    <w:p w14:paraId="7182569F" w14:textId="47E8F992" w:rsidR="007F4791" w:rsidRPr="00A25F2C" w:rsidRDefault="007F4791" w:rsidP="007F4791">
      <w:pPr>
        <w:pStyle w:val="BodyText"/>
      </w:pPr>
      <w:r w:rsidRPr="00A25F2C">
        <w:t xml:space="preserve">For more information on </w:t>
      </w:r>
      <w:r w:rsidRPr="00A25F2C">
        <w:rPr>
          <w:i/>
        </w:rPr>
        <w:t xml:space="preserve">Water for Victoria </w:t>
      </w:r>
      <w:r w:rsidRPr="00A25F2C">
        <w:t xml:space="preserve">visit the </w:t>
      </w:r>
      <w:hyperlink r:id="rId14" w:history="1">
        <w:r w:rsidRPr="00774D7C">
          <w:rPr>
            <w:rStyle w:val="Hyperlink"/>
          </w:rPr>
          <w:t>Department of Energy, Environment and Climate Action website</w:t>
        </w:r>
      </w:hyperlink>
      <w:r w:rsidR="00774D7C" w:rsidRPr="00774D7C">
        <w:rPr>
          <w:rStyle w:val="FootnoteReference"/>
        </w:rPr>
        <w:footnoteReference w:id="1"/>
      </w:r>
      <w:r w:rsidRPr="00774D7C">
        <w:t>.</w:t>
      </w:r>
    </w:p>
    <w:p w14:paraId="30420B4C" w14:textId="77777777" w:rsidR="007F4791" w:rsidRPr="00A25F2C" w:rsidRDefault="007F4791" w:rsidP="00CA7A2A">
      <w:pPr>
        <w:pStyle w:val="Heading3"/>
      </w:pPr>
      <w:bookmarkStart w:id="18" w:name="_Toc147756866"/>
      <w:r w:rsidRPr="00A25F2C">
        <w:t>Driving sustainability through what we do</w:t>
      </w:r>
      <w:bookmarkEnd w:id="18"/>
    </w:p>
    <w:p w14:paraId="64CBF247" w14:textId="19E455CD" w:rsidR="007F4791" w:rsidRPr="00A25F2C" w:rsidRDefault="007F4791" w:rsidP="007F4791">
      <w:pPr>
        <w:pStyle w:val="BodyText"/>
      </w:pPr>
      <w:r w:rsidRPr="00A25F2C">
        <w:t xml:space="preserve">Sustainability is a central principle of our business. We have been signatories to the United Nations Sustainable Development Goals (SDGs) for a number of </w:t>
      </w:r>
      <w:proofErr w:type="gramStart"/>
      <w:r w:rsidRPr="00A25F2C">
        <w:t>years, and</w:t>
      </w:r>
      <w:proofErr w:type="gramEnd"/>
      <w:r w:rsidRPr="00A25F2C">
        <w:t xml:space="preserve"> are focused on driving the business towards best practice in sustainability. We are actively building our capability in</w:t>
      </w:r>
      <w:r w:rsidR="00CA7A2A">
        <w:t xml:space="preserve"> </w:t>
      </w:r>
      <w:r w:rsidRPr="00A25F2C">
        <w:t>sustainability in a way that further integrates our approach to managing environmental, social and governance performance in line with stakeholder expectations today, and as they evolve into the future.</w:t>
      </w:r>
    </w:p>
    <w:p w14:paraId="7F1A7F4E" w14:textId="2D391CA5" w:rsidR="007F4791" w:rsidRPr="00A25F2C" w:rsidRDefault="007F4791" w:rsidP="007F4791">
      <w:pPr>
        <w:pStyle w:val="BodyText"/>
      </w:pPr>
      <w:r w:rsidRPr="00A25F2C">
        <w:t xml:space="preserve">By using the </w:t>
      </w:r>
      <w:r w:rsidR="001D7561">
        <w:t>Sustainable Development Goals</w:t>
      </w:r>
      <w:r w:rsidRPr="00A25F2C">
        <w:t xml:space="preserve"> as a framework, we can identify further opportunities that maximise Melbourne Water’s contribution to achieving environmental and social responsibility.</w:t>
      </w:r>
    </w:p>
    <w:p w14:paraId="3692DAA8" w14:textId="5DAC769E" w:rsidR="007F4791" w:rsidRPr="00A25F2C" w:rsidRDefault="007F4791" w:rsidP="007F4791">
      <w:pPr>
        <w:pStyle w:val="BodyText"/>
      </w:pPr>
      <w:r w:rsidRPr="00A25F2C">
        <w:t xml:space="preserve">We recognise our ability to contribute to advancing each of the goals, both directly through our own work and indirectly through partnerships with customers, </w:t>
      </w:r>
      <w:proofErr w:type="gramStart"/>
      <w:r w:rsidRPr="00A25F2C">
        <w:t>stakeholders</w:t>
      </w:r>
      <w:proofErr w:type="gramEnd"/>
      <w:r w:rsidRPr="00A25F2C">
        <w:t xml:space="preserve"> and suppliers. Embedding the </w:t>
      </w:r>
      <w:r w:rsidR="001D7561">
        <w:t xml:space="preserve">Sustainable </w:t>
      </w:r>
      <w:r w:rsidR="001D7561">
        <w:lastRenderedPageBreak/>
        <w:t>Development Goals</w:t>
      </w:r>
      <w:r w:rsidRPr="00A25F2C">
        <w:t xml:space="preserve"> in our business strategy and goals provides a global context for how Melbourne Water can contribute to a sustainable global future.</w:t>
      </w:r>
    </w:p>
    <w:p w14:paraId="3ADB3AAB" w14:textId="0F9D781C" w:rsidR="007F4791" w:rsidRPr="00A25F2C" w:rsidRDefault="007F4791" w:rsidP="007F4791">
      <w:pPr>
        <w:pStyle w:val="BodyText"/>
      </w:pPr>
      <w:r w:rsidRPr="00A25F2C">
        <w:t xml:space="preserve">Melbourne Water has identified opportunities for step change toward our achievement of the </w:t>
      </w:r>
      <w:r w:rsidR="001D7561">
        <w:t>Sustainable Development Goals</w:t>
      </w:r>
      <w:r w:rsidRPr="00A25F2C">
        <w:t xml:space="preserve"> across five priority areas for integration:</w:t>
      </w:r>
    </w:p>
    <w:p w14:paraId="07669195" w14:textId="69FA462D" w:rsidR="007F4791" w:rsidRPr="00A25F2C" w:rsidRDefault="007F4791" w:rsidP="007F4791">
      <w:pPr>
        <w:pStyle w:val="ListNumber"/>
      </w:pPr>
      <w:r w:rsidRPr="00A25F2C">
        <w:rPr>
          <w:b/>
        </w:rPr>
        <w:t xml:space="preserve">Strategy </w:t>
      </w:r>
      <w:r w:rsidRPr="00A25F2C">
        <w:t xml:space="preserve">– integrating the </w:t>
      </w:r>
      <w:r w:rsidR="001D7561">
        <w:t>Sustainable Development Goals</w:t>
      </w:r>
      <w:r w:rsidRPr="00A25F2C">
        <w:t xml:space="preserve"> into organisational strategy.</w:t>
      </w:r>
    </w:p>
    <w:p w14:paraId="04EBC458" w14:textId="39C64422" w:rsidR="007F4791" w:rsidRPr="00A25F2C" w:rsidRDefault="007F4791" w:rsidP="007F4791">
      <w:pPr>
        <w:pStyle w:val="ListNumber"/>
      </w:pPr>
      <w:r w:rsidRPr="00A25F2C">
        <w:rPr>
          <w:b/>
        </w:rPr>
        <w:t xml:space="preserve">Target setting </w:t>
      </w:r>
      <w:r w:rsidRPr="00A25F2C">
        <w:t xml:space="preserve">– setting targets for the </w:t>
      </w:r>
      <w:r w:rsidR="001D7561">
        <w:t>Sustainable Development Goals</w:t>
      </w:r>
      <w:r w:rsidRPr="00A25F2C">
        <w:t xml:space="preserve"> agenda and incorporating these into reporting.</w:t>
      </w:r>
    </w:p>
    <w:p w14:paraId="63D814D2" w14:textId="4A1821AA" w:rsidR="007F4791" w:rsidRPr="00A25F2C" w:rsidRDefault="007F4791" w:rsidP="007F4791">
      <w:pPr>
        <w:pStyle w:val="ListNumber"/>
      </w:pPr>
      <w:r w:rsidRPr="00A25F2C">
        <w:rPr>
          <w:b/>
        </w:rPr>
        <w:t xml:space="preserve">Investment </w:t>
      </w:r>
      <w:r w:rsidRPr="00A25F2C">
        <w:t xml:space="preserve">– using </w:t>
      </w:r>
      <w:r w:rsidR="001D7561">
        <w:t>Sustainable Development Goals</w:t>
      </w:r>
      <w:r w:rsidRPr="00A25F2C">
        <w:t xml:space="preserve"> to help prioritise investment.</w:t>
      </w:r>
    </w:p>
    <w:p w14:paraId="73A3A69C" w14:textId="46F3F119" w:rsidR="007F4791" w:rsidRPr="00A25F2C" w:rsidRDefault="007F4791" w:rsidP="007F4791">
      <w:pPr>
        <w:pStyle w:val="ListNumber"/>
      </w:pPr>
      <w:r w:rsidRPr="00A25F2C">
        <w:rPr>
          <w:b/>
        </w:rPr>
        <w:t xml:space="preserve">Business processes – </w:t>
      </w:r>
      <w:r w:rsidRPr="00A25F2C">
        <w:t xml:space="preserve">normalising and embedding </w:t>
      </w:r>
      <w:r w:rsidR="001D7561">
        <w:t>Sustainable Development Goals</w:t>
      </w:r>
      <w:r w:rsidRPr="00A25F2C">
        <w:t xml:space="preserve"> into business-as-usual practices.</w:t>
      </w:r>
    </w:p>
    <w:p w14:paraId="683BA535" w14:textId="741559D6" w:rsidR="007F4791" w:rsidRPr="00A25F2C" w:rsidRDefault="007F4791" w:rsidP="007F4791">
      <w:pPr>
        <w:pStyle w:val="ListNumber"/>
      </w:pPr>
      <w:r w:rsidRPr="00A25F2C">
        <w:rPr>
          <w:b/>
        </w:rPr>
        <w:t xml:space="preserve">Reward and recognition </w:t>
      </w:r>
      <w:r w:rsidRPr="00A25F2C">
        <w:t xml:space="preserve">– rewarding and recognising of progress against the </w:t>
      </w:r>
      <w:r w:rsidR="001D7561">
        <w:t>Sustainable Development Goals</w:t>
      </w:r>
      <w:r w:rsidRPr="00A25F2C">
        <w:t xml:space="preserve"> as part of standard reporting.</w:t>
      </w:r>
    </w:p>
    <w:p w14:paraId="533DC9E1" w14:textId="6F25A36D" w:rsidR="007F4791" w:rsidRPr="00A25F2C" w:rsidRDefault="007F4791" w:rsidP="00CA7A2A">
      <w:pPr>
        <w:pStyle w:val="Heading4"/>
      </w:pPr>
      <w:r w:rsidRPr="00A25F2C">
        <w:t>Sustainable Development Goals</w:t>
      </w:r>
    </w:p>
    <w:p w14:paraId="04769E99" w14:textId="75C64DFC" w:rsidR="007F4791" w:rsidRPr="00A25F2C" w:rsidRDefault="007F4791" w:rsidP="007F4791">
      <w:pPr>
        <w:pStyle w:val="BodyText"/>
      </w:pPr>
      <w:r w:rsidRPr="00A25F2C">
        <w:t xml:space="preserve">The </w:t>
      </w:r>
      <w:r w:rsidR="001D7561">
        <w:t>Sustainable Development Goals</w:t>
      </w:r>
      <w:r w:rsidRPr="00A25F2C">
        <w:t xml:space="preserve"> are:</w:t>
      </w:r>
    </w:p>
    <w:p w14:paraId="3337040F" w14:textId="77777777" w:rsidR="009A01E7" w:rsidRDefault="007F4791" w:rsidP="00443124">
      <w:pPr>
        <w:pStyle w:val="ListNumber"/>
        <w:numPr>
          <w:ilvl w:val="0"/>
          <w:numId w:val="30"/>
        </w:numPr>
        <w:contextualSpacing/>
      </w:pPr>
      <w:r w:rsidRPr="00A25F2C">
        <w:t xml:space="preserve">No </w:t>
      </w:r>
      <w:r w:rsidRPr="00443124">
        <w:t>Poverty</w:t>
      </w:r>
      <w:r w:rsidRPr="00A25F2C">
        <w:t xml:space="preserve"> </w:t>
      </w:r>
    </w:p>
    <w:p w14:paraId="55AF0F99" w14:textId="11CAFC20" w:rsidR="007F4791" w:rsidRPr="00A25F2C" w:rsidRDefault="007F4791" w:rsidP="00443124">
      <w:pPr>
        <w:pStyle w:val="ListNumber"/>
        <w:numPr>
          <w:ilvl w:val="0"/>
          <w:numId w:val="30"/>
        </w:numPr>
        <w:contextualSpacing/>
      </w:pPr>
      <w:r w:rsidRPr="00A25F2C">
        <w:t>Zero Hunger</w:t>
      </w:r>
    </w:p>
    <w:p w14:paraId="37F64D61" w14:textId="77777777" w:rsidR="007F4791" w:rsidRPr="00A25F2C" w:rsidRDefault="007F4791" w:rsidP="009A01E7">
      <w:pPr>
        <w:pStyle w:val="ListNumber"/>
        <w:numPr>
          <w:ilvl w:val="0"/>
          <w:numId w:val="30"/>
        </w:numPr>
        <w:contextualSpacing/>
      </w:pPr>
      <w:r w:rsidRPr="00A25F2C">
        <w:t>Good Health and Wellbeing</w:t>
      </w:r>
    </w:p>
    <w:p w14:paraId="7BC99490" w14:textId="77777777" w:rsidR="009A01E7" w:rsidRDefault="007F4791" w:rsidP="009A01E7">
      <w:pPr>
        <w:pStyle w:val="ListNumber"/>
        <w:numPr>
          <w:ilvl w:val="0"/>
          <w:numId w:val="30"/>
        </w:numPr>
        <w:contextualSpacing/>
      </w:pPr>
      <w:r w:rsidRPr="00A25F2C">
        <w:t xml:space="preserve">Quality Education </w:t>
      </w:r>
    </w:p>
    <w:p w14:paraId="7F03522F" w14:textId="60A38246" w:rsidR="007F4791" w:rsidRPr="00A25F2C" w:rsidRDefault="007F4791" w:rsidP="009A01E7">
      <w:pPr>
        <w:pStyle w:val="ListNumber"/>
        <w:numPr>
          <w:ilvl w:val="0"/>
          <w:numId w:val="30"/>
        </w:numPr>
        <w:contextualSpacing/>
      </w:pPr>
      <w:r w:rsidRPr="00A25F2C">
        <w:t>Gender Equality</w:t>
      </w:r>
    </w:p>
    <w:p w14:paraId="3D74CE02" w14:textId="77777777" w:rsidR="007F4791" w:rsidRPr="00A25F2C" w:rsidRDefault="007F4791" w:rsidP="009A01E7">
      <w:pPr>
        <w:pStyle w:val="ListNumber"/>
        <w:numPr>
          <w:ilvl w:val="0"/>
          <w:numId w:val="30"/>
        </w:numPr>
        <w:contextualSpacing/>
      </w:pPr>
      <w:r w:rsidRPr="00A25F2C">
        <w:t>Clean Water and Sanitation</w:t>
      </w:r>
    </w:p>
    <w:p w14:paraId="45100329" w14:textId="77777777" w:rsidR="007F4791" w:rsidRPr="00A25F2C" w:rsidRDefault="007F4791" w:rsidP="009A01E7">
      <w:pPr>
        <w:pStyle w:val="ListNumber"/>
        <w:numPr>
          <w:ilvl w:val="0"/>
          <w:numId w:val="30"/>
        </w:numPr>
        <w:contextualSpacing/>
      </w:pPr>
      <w:r w:rsidRPr="00A25F2C">
        <w:t>Affordable and Clean Energy</w:t>
      </w:r>
    </w:p>
    <w:p w14:paraId="12560CF8" w14:textId="77777777" w:rsidR="007F4791" w:rsidRPr="00A25F2C" w:rsidRDefault="007F4791" w:rsidP="009A01E7">
      <w:pPr>
        <w:pStyle w:val="ListNumber"/>
        <w:numPr>
          <w:ilvl w:val="0"/>
          <w:numId w:val="30"/>
        </w:numPr>
        <w:contextualSpacing/>
      </w:pPr>
      <w:r w:rsidRPr="00A25F2C">
        <w:t>Decent Work and Economic Growth</w:t>
      </w:r>
    </w:p>
    <w:p w14:paraId="0A3C4E1A" w14:textId="77777777" w:rsidR="007F4791" w:rsidRPr="00A25F2C" w:rsidRDefault="007F4791" w:rsidP="009A01E7">
      <w:pPr>
        <w:pStyle w:val="ListNumber"/>
        <w:numPr>
          <w:ilvl w:val="0"/>
          <w:numId w:val="30"/>
        </w:numPr>
        <w:contextualSpacing/>
      </w:pPr>
      <w:r w:rsidRPr="00A25F2C">
        <w:t xml:space="preserve">Industry, </w:t>
      </w:r>
      <w:proofErr w:type="gramStart"/>
      <w:r w:rsidRPr="00A25F2C">
        <w:t>Innovation</w:t>
      </w:r>
      <w:proofErr w:type="gramEnd"/>
      <w:r w:rsidRPr="00A25F2C">
        <w:t xml:space="preserve"> and Infrastructure</w:t>
      </w:r>
    </w:p>
    <w:p w14:paraId="69584302" w14:textId="0F796F96" w:rsidR="007F4791" w:rsidRPr="00A25F2C" w:rsidRDefault="007F4791" w:rsidP="009A01E7">
      <w:pPr>
        <w:pStyle w:val="ListNumber"/>
        <w:numPr>
          <w:ilvl w:val="0"/>
          <w:numId w:val="30"/>
        </w:numPr>
        <w:contextualSpacing/>
      </w:pPr>
      <w:r w:rsidRPr="00A25F2C">
        <w:t>Reduced Inequalities</w:t>
      </w:r>
    </w:p>
    <w:p w14:paraId="7A0F8FFF" w14:textId="77777777" w:rsidR="007F4791" w:rsidRPr="00A25F2C" w:rsidRDefault="007F4791" w:rsidP="009A01E7">
      <w:pPr>
        <w:pStyle w:val="ListNumber"/>
        <w:numPr>
          <w:ilvl w:val="0"/>
          <w:numId w:val="30"/>
        </w:numPr>
        <w:contextualSpacing/>
      </w:pPr>
      <w:r w:rsidRPr="00A25F2C">
        <w:t>Sustainable Cities and Communities</w:t>
      </w:r>
    </w:p>
    <w:p w14:paraId="42141589" w14:textId="77777777" w:rsidR="007F4791" w:rsidRPr="00A25F2C" w:rsidRDefault="007F4791" w:rsidP="009A01E7">
      <w:pPr>
        <w:pStyle w:val="ListNumber"/>
        <w:numPr>
          <w:ilvl w:val="0"/>
          <w:numId w:val="30"/>
        </w:numPr>
        <w:contextualSpacing/>
      </w:pPr>
      <w:r w:rsidRPr="00A25F2C">
        <w:t>Responsible Consumption and Production</w:t>
      </w:r>
    </w:p>
    <w:p w14:paraId="06ECC064" w14:textId="77777777" w:rsidR="009A01E7" w:rsidRDefault="007F4791" w:rsidP="009A01E7">
      <w:pPr>
        <w:pStyle w:val="ListNumber"/>
        <w:numPr>
          <w:ilvl w:val="0"/>
          <w:numId w:val="30"/>
        </w:numPr>
        <w:contextualSpacing/>
      </w:pPr>
      <w:r w:rsidRPr="00A25F2C">
        <w:t xml:space="preserve">Climate Action Life Below Water </w:t>
      </w:r>
    </w:p>
    <w:p w14:paraId="178AF1D4" w14:textId="7F55500B" w:rsidR="007F4791" w:rsidRPr="00A25F2C" w:rsidRDefault="007F4791" w:rsidP="009A01E7">
      <w:pPr>
        <w:pStyle w:val="ListNumber"/>
        <w:numPr>
          <w:ilvl w:val="0"/>
          <w:numId w:val="30"/>
        </w:numPr>
        <w:contextualSpacing/>
      </w:pPr>
      <w:r w:rsidRPr="00A25F2C">
        <w:t>Life On Land</w:t>
      </w:r>
    </w:p>
    <w:p w14:paraId="486C0950" w14:textId="77777777" w:rsidR="007F4791" w:rsidRPr="00A25F2C" w:rsidRDefault="007F4791" w:rsidP="009A01E7">
      <w:pPr>
        <w:pStyle w:val="ListNumber"/>
        <w:numPr>
          <w:ilvl w:val="0"/>
          <w:numId w:val="30"/>
        </w:numPr>
        <w:contextualSpacing/>
      </w:pPr>
      <w:r w:rsidRPr="00A25F2C">
        <w:t xml:space="preserve">Peace, </w:t>
      </w:r>
      <w:proofErr w:type="gramStart"/>
      <w:r w:rsidRPr="00A25F2C">
        <w:t>Justice</w:t>
      </w:r>
      <w:proofErr w:type="gramEnd"/>
      <w:r w:rsidRPr="00A25F2C">
        <w:t xml:space="preserve"> and Strong Institutions</w:t>
      </w:r>
    </w:p>
    <w:p w14:paraId="1FCFAF64" w14:textId="77777777" w:rsidR="00143D6B" w:rsidRDefault="007F4791" w:rsidP="009A01E7">
      <w:pPr>
        <w:pStyle w:val="ListNumber"/>
        <w:numPr>
          <w:ilvl w:val="0"/>
          <w:numId w:val="30"/>
        </w:numPr>
        <w:contextualSpacing/>
      </w:pPr>
      <w:r w:rsidRPr="00A25F2C">
        <w:t>Partnerships for the Goals</w:t>
      </w:r>
    </w:p>
    <w:p w14:paraId="1B822AF1" w14:textId="77777777" w:rsidR="00143D6B" w:rsidRDefault="007F4791" w:rsidP="007F4791">
      <w:pPr>
        <w:pStyle w:val="Heading1"/>
      </w:pPr>
      <w:bookmarkStart w:id="19" w:name="_Toc147756867"/>
      <w:r w:rsidRPr="00A25F2C">
        <w:lastRenderedPageBreak/>
        <w:t>Delivering for Melbourne</w:t>
      </w:r>
      <w:bookmarkEnd w:id="19"/>
    </w:p>
    <w:p w14:paraId="0439D25B" w14:textId="4D24E56B" w:rsidR="007F4791" w:rsidRPr="00A25F2C" w:rsidRDefault="007F4791" w:rsidP="007F4791">
      <w:pPr>
        <w:pStyle w:val="Heading2"/>
      </w:pPr>
      <w:bookmarkStart w:id="20" w:name="_Toc147756868"/>
      <w:r w:rsidRPr="00A25F2C">
        <w:t>Resilient and liveable cities and towns</w:t>
      </w:r>
      <w:bookmarkEnd w:id="20"/>
    </w:p>
    <w:p w14:paraId="3947A0FC" w14:textId="77777777" w:rsidR="007F4791" w:rsidRPr="00A25F2C" w:rsidRDefault="007F4791" w:rsidP="00CA7A2A">
      <w:pPr>
        <w:pStyle w:val="Heading3"/>
      </w:pPr>
      <w:bookmarkStart w:id="21" w:name="_Toc147756869"/>
      <w:r w:rsidRPr="00A25F2C">
        <w:t>What we do now</w:t>
      </w:r>
      <w:bookmarkEnd w:id="21"/>
    </w:p>
    <w:p w14:paraId="0BF7B8AB" w14:textId="77777777" w:rsidR="007F4791" w:rsidRPr="00A25F2C" w:rsidRDefault="007F4791" w:rsidP="007F4791">
      <w:pPr>
        <w:pStyle w:val="BodyText"/>
      </w:pPr>
      <w:r w:rsidRPr="00A25F2C">
        <w:t>Faced with a changing operating environment, population growth and the increased effects of climate change, we remain focused on building resilience in our services and for the future of Melbourne’s water security.</w:t>
      </w:r>
    </w:p>
    <w:p w14:paraId="397438C9" w14:textId="77777777" w:rsidR="007F4791" w:rsidRPr="00A25F2C" w:rsidRDefault="007F4791" w:rsidP="007F4791">
      <w:pPr>
        <w:pStyle w:val="BodyText"/>
      </w:pPr>
      <w:r w:rsidRPr="00A25F2C">
        <w:t xml:space="preserve">Central to Melbourne Water’s remit is the provision of safe and reliable water and sewerage services for Melbourne. The implementation of the </w:t>
      </w:r>
      <w:r w:rsidRPr="00A25F2C">
        <w:rPr>
          <w:i/>
        </w:rPr>
        <w:t xml:space="preserve">Melbourne Sewerage Strategy </w:t>
      </w:r>
      <w:r w:rsidRPr="00A25F2C">
        <w:t>requires close collaboration with our customers and stakeholders, who all have a role to play to achieve the strategy’s goals.</w:t>
      </w:r>
    </w:p>
    <w:p w14:paraId="0ACA89C3" w14:textId="381BFBA6" w:rsidR="007F4791" w:rsidRPr="00A25F2C" w:rsidRDefault="007F4791" w:rsidP="007F4791">
      <w:pPr>
        <w:pStyle w:val="BodyText"/>
      </w:pPr>
      <w:r w:rsidRPr="00A25F2C">
        <w:t xml:space="preserve">The Eastern Treatment Plant and Western Treatment Plant strategic plans provide the next level of detail to the </w:t>
      </w:r>
      <w:r w:rsidRPr="00A25F2C">
        <w:rPr>
          <w:i/>
        </w:rPr>
        <w:t>Melbourne Sewerage Strategy</w:t>
      </w:r>
      <w:r w:rsidRPr="00A25F2C">
        <w:t xml:space="preserve">, outline strategic objectives for both plants, and identify key decision points and adaptive pathways that would enable the goals of the </w:t>
      </w:r>
      <w:r w:rsidRPr="00A25F2C">
        <w:rPr>
          <w:i/>
        </w:rPr>
        <w:t>Melbourne Sewerage Strategy</w:t>
      </w:r>
      <w:r w:rsidR="00CA7A2A">
        <w:rPr>
          <w:i/>
        </w:rPr>
        <w:t xml:space="preserve"> </w:t>
      </w:r>
      <w:r w:rsidRPr="00A25F2C">
        <w:t>to be realised. They will form a critical part of the plan to be communicated to stakeholders and regulators in the lead-up to the next Pricing Submission (PS26).</w:t>
      </w:r>
    </w:p>
    <w:p w14:paraId="1713C147" w14:textId="77777777" w:rsidR="007F4791" w:rsidRPr="00A25F2C" w:rsidRDefault="007F4791" w:rsidP="00CA7A2A">
      <w:pPr>
        <w:pStyle w:val="Heading4"/>
      </w:pPr>
      <w:r w:rsidRPr="00A25F2C">
        <w:t>Securing water for all Melburnians</w:t>
      </w:r>
    </w:p>
    <w:p w14:paraId="6BEA868D" w14:textId="6F757F08" w:rsidR="007F4791" w:rsidRPr="00A25F2C" w:rsidRDefault="007F4791" w:rsidP="007F4791">
      <w:pPr>
        <w:pStyle w:val="BodyText"/>
      </w:pPr>
      <w:r w:rsidRPr="00A25F2C">
        <w:t xml:space="preserve">Melbourne Water welcomes the development of the </w:t>
      </w:r>
      <w:r w:rsidR="00E23BDC">
        <w:t>Central and Gippsland Region Sustainable Water Strategy</w:t>
      </w:r>
      <w:r w:rsidRPr="00A25F2C">
        <w:t xml:space="preserve">, led </w:t>
      </w:r>
      <w:r w:rsidR="00995D31" w:rsidRPr="00A25F2C">
        <w:t xml:space="preserve">by </w:t>
      </w:r>
      <w:r w:rsidR="00995D31">
        <w:t>Department</w:t>
      </w:r>
      <w:r w:rsidR="00E23BDC">
        <w:t xml:space="preserve"> of Environment, Energy and Climate Action</w:t>
      </w:r>
      <w:r w:rsidRPr="00A25F2C">
        <w:t>, which takes a long-term view of water availability, identifies threats to the supply and quality of the state’s water resources in the central and Gippsland region, and looks at increasing the volume of water for the environment.</w:t>
      </w:r>
    </w:p>
    <w:p w14:paraId="5C58B585" w14:textId="3437D686" w:rsidR="007F4791" w:rsidRPr="00A25F2C" w:rsidRDefault="007F4791" w:rsidP="007F4791">
      <w:pPr>
        <w:pStyle w:val="BodyText"/>
      </w:pPr>
      <w:r w:rsidRPr="00A25F2C">
        <w:t xml:space="preserve">Developed in parallel, </w:t>
      </w:r>
      <w:r w:rsidRPr="00A25F2C">
        <w:rPr>
          <w:i/>
        </w:rPr>
        <w:t xml:space="preserve">Water for Life </w:t>
      </w:r>
      <w:r w:rsidRPr="00A25F2C">
        <w:t xml:space="preserve">is also a key part of Melbourne Water’s commitment to system resilience. Led via a collaborative effort between Melbourne Water and the metropolitan retail water companies, </w:t>
      </w:r>
      <w:r w:rsidRPr="00A25F2C">
        <w:rPr>
          <w:i/>
        </w:rPr>
        <w:t xml:space="preserve">Water for Life </w:t>
      </w:r>
      <w:r w:rsidRPr="00A25F2C">
        <w:t>identifies the best mix of actions to supply water to our towns and</w:t>
      </w:r>
      <w:r w:rsidR="00CA7A2A">
        <w:t xml:space="preserve"> </w:t>
      </w:r>
      <w:r w:rsidRPr="00A25F2C">
        <w:t>cities. Melbourne Water is committed to working towards the strategy’s adaptive plan that identifies several short and long- term options and pathways to manage the water supply deficit by incorporating climate resistant or manufactured water.</w:t>
      </w:r>
    </w:p>
    <w:p w14:paraId="607F17D8" w14:textId="5898D4BD" w:rsidR="007F4791" w:rsidRPr="00A25F2C" w:rsidRDefault="007F4791" w:rsidP="007F4791">
      <w:pPr>
        <w:pStyle w:val="BodyText"/>
      </w:pPr>
      <w:r w:rsidRPr="00A25F2C">
        <w:t>In addition, we are stepping up collaboration with our Customer Delivery Partners (Melbourne’s retail water companies and local government) in recognition that the shared challenges</w:t>
      </w:r>
      <w:r w:rsidR="00CA7A2A">
        <w:t xml:space="preserve"> </w:t>
      </w:r>
      <w:r w:rsidRPr="00A25F2C">
        <w:t>the sector is facing can only be tackled as an industry. These challenges include protecting Melbourne’s long-term water security, reducing our carbon emissions and playing a greater role in the circular economy.</w:t>
      </w:r>
    </w:p>
    <w:p w14:paraId="06C2AA77" w14:textId="75957CD9" w:rsidR="007F4791" w:rsidRPr="00A25F2C" w:rsidRDefault="007F4791" w:rsidP="00CA7A2A">
      <w:pPr>
        <w:pStyle w:val="Heading4"/>
      </w:pPr>
      <w:r w:rsidRPr="00A25F2C">
        <w:t>Beyond resource recovery</w:t>
      </w:r>
    </w:p>
    <w:p w14:paraId="75124768" w14:textId="77777777" w:rsidR="007F4791" w:rsidRPr="00A25F2C" w:rsidRDefault="007F4791" w:rsidP="007F4791">
      <w:pPr>
        <w:pStyle w:val="BodyText"/>
      </w:pPr>
      <w:r w:rsidRPr="00A25F2C">
        <w:t>Melbourne Water aims to play a role in catalysing the new green industry, particularly in circularity and decarbonisation, providing benefits and adding value to our services and the community.</w:t>
      </w:r>
    </w:p>
    <w:p w14:paraId="594A591D" w14:textId="77777777" w:rsidR="007F4791" w:rsidRPr="00A25F2C" w:rsidRDefault="007F4791" w:rsidP="007F4791">
      <w:pPr>
        <w:pStyle w:val="BodyText"/>
      </w:pPr>
      <w:r w:rsidRPr="00A25F2C">
        <w:t>In addition, we have contributed to the circular economy through the re-use of biosolids from the Western Treatment Plant, with a three-year rolling average of 90 per cent re-use from the site. In addition, we have a target of 40 per cent re-use of biosolids from the site by 2025 and 100 per cent by 2030. We are on track to reach these targets.</w:t>
      </w:r>
    </w:p>
    <w:p w14:paraId="1449A2F3" w14:textId="77777777" w:rsidR="007F4791" w:rsidRPr="00A25F2C" w:rsidRDefault="007F4791" w:rsidP="007F4791">
      <w:pPr>
        <w:pStyle w:val="BodyText"/>
      </w:pPr>
      <w:r w:rsidRPr="00A25F2C">
        <w:t xml:space="preserve">By taking an integrated and collaborative approach, Melbourne Water seeks to promote a cooperative management of water, land and related services through multiple agencies and service providers, to maximise economic, </w:t>
      </w:r>
      <w:proofErr w:type="gramStart"/>
      <w:r w:rsidRPr="00A25F2C">
        <w:t>social</w:t>
      </w:r>
      <w:proofErr w:type="gramEnd"/>
      <w:r w:rsidRPr="00A25F2C">
        <w:t xml:space="preserve"> and ecological benefits to the community.</w:t>
      </w:r>
    </w:p>
    <w:p w14:paraId="67FD0FF4" w14:textId="526E002A" w:rsidR="007F4791" w:rsidRPr="00A25F2C" w:rsidRDefault="007F4791" w:rsidP="00CA7A2A">
      <w:pPr>
        <w:pStyle w:val="Heading4"/>
      </w:pPr>
      <w:r w:rsidRPr="00A25F2C">
        <w:lastRenderedPageBreak/>
        <w:t xml:space="preserve">Collaborative strategies for </w:t>
      </w:r>
      <w:r w:rsidR="00E23BDC">
        <w:t>Integrated Water Management</w:t>
      </w:r>
    </w:p>
    <w:p w14:paraId="7259EF03" w14:textId="77777777" w:rsidR="007F4791" w:rsidRPr="00A25F2C" w:rsidRDefault="007F4791" w:rsidP="007F4791">
      <w:pPr>
        <w:pStyle w:val="BodyText"/>
      </w:pPr>
      <w:r w:rsidRPr="00A25F2C">
        <w:t xml:space="preserve">Melbourne Water will continue to work in close collaboration with our customers, </w:t>
      </w:r>
      <w:proofErr w:type="gramStart"/>
      <w:r w:rsidRPr="00A25F2C">
        <w:t>partners</w:t>
      </w:r>
      <w:proofErr w:type="gramEnd"/>
      <w:r w:rsidRPr="00A25F2C">
        <w:t xml:space="preserve"> and stakeholders to design strategies aligned to each of our services. Alongside this, we will work with the Victorian Government and other project partners to investigate harvesting and using stormwater as a valued resource.</w:t>
      </w:r>
    </w:p>
    <w:p w14:paraId="69090BDC" w14:textId="6FA4A3B7" w:rsidR="007F4791" w:rsidRPr="00A25F2C" w:rsidRDefault="007F4791" w:rsidP="007F4791">
      <w:pPr>
        <w:pStyle w:val="BodyText"/>
      </w:pPr>
      <w:r w:rsidRPr="00A25F2C">
        <w:t xml:space="preserve">The </w:t>
      </w:r>
      <w:r w:rsidRPr="00A25F2C">
        <w:rPr>
          <w:i/>
        </w:rPr>
        <w:t xml:space="preserve">Melbourne Sewerage Strategy </w:t>
      </w:r>
      <w:r w:rsidRPr="00A25F2C">
        <w:t>is also an example of an integrated approach that advocates for the transformation of the Melbourne Sewerage System from a linear waste disposal system to a circular resource recovery system. Such a transformation will enable Melbourne Water to progress multiple objectives, including our move towards a net-</w:t>
      </w:r>
      <w:r w:rsidR="00CA7A2A">
        <w:t xml:space="preserve"> </w:t>
      </w:r>
      <w:r w:rsidRPr="00A25F2C">
        <w:t xml:space="preserve">zero emissions business, advancing a circular </w:t>
      </w:r>
      <w:proofErr w:type="gramStart"/>
      <w:r w:rsidRPr="00A25F2C">
        <w:t>economy</w:t>
      </w:r>
      <w:proofErr w:type="gramEnd"/>
      <w:r w:rsidRPr="00A25F2C">
        <w:t xml:space="preserve"> and contributing to the </w:t>
      </w:r>
      <w:r w:rsidR="001D7561">
        <w:t>Sustainable Development Goals</w:t>
      </w:r>
      <w:r w:rsidRPr="00A25F2C">
        <w:t>. In addition, the Melbourne Sewerage Strategy outlines new water opportunities for development to help secure future water security.</w:t>
      </w:r>
    </w:p>
    <w:p w14:paraId="1B18F687" w14:textId="77777777" w:rsidR="007F4791" w:rsidRPr="00A25F2C" w:rsidRDefault="007F4791" w:rsidP="007F4791">
      <w:pPr>
        <w:pStyle w:val="BodyText"/>
      </w:pPr>
      <w:r w:rsidRPr="00A25F2C">
        <w:t>We continue to work with partners and stakeholders to maximise the value our sewerage network can generate as a contributor to the circular economy. We do this by actively developing opportunities that further integrate services, for example working with Greater Western Water on the Werribee Reconfiguration project, which will unlock additional fit-for- purpose recycled water uses and reduce future demand on our water network.</w:t>
      </w:r>
    </w:p>
    <w:p w14:paraId="13A67601" w14:textId="74ED386B" w:rsidR="00143D6B" w:rsidRDefault="007F4791" w:rsidP="007F4791">
      <w:pPr>
        <w:pStyle w:val="BodyText"/>
      </w:pPr>
      <w:r w:rsidRPr="00A25F2C">
        <w:t xml:space="preserve">Melbourne Water has worked collaboratively </w:t>
      </w:r>
      <w:r w:rsidR="00FC6283" w:rsidRPr="00A25F2C">
        <w:t xml:space="preserve">with </w:t>
      </w:r>
      <w:r w:rsidR="00FC6283">
        <w:t>Department</w:t>
      </w:r>
      <w:r w:rsidR="00E23BDC">
        <w:t xml:space="preserve"> of Environment, Energy and Climate Action</w:t>
      </w:r>
      <w:r w:rsidRPr="00A25F2C">
        <w:t xml:space="preserve">, the Department of Transport and Planning, City of Melbourne, City of Port </w:t>
      </w:r>
      <w:proofErr w:type="gramStart"/>
      <w:r w:rsidRPr="00A25F2C">
        <w:t>Phillip</w:t>
      </w:r>
      <w:proofErr w:type="gramEnd"/>
      <w:r w:rsidRPr="00A25F2C">
        <w:t xml:space="preserve"> and the Cooperative Research Centre for Water Sensitive Cities, to develop the </w:t>
      </w:r>
      <w:r w:rsidRPr="00A25F2C">
        <w:rPr>
          <w:i/>
        </w:rPr>
        <w:t xml:space="preserve">Water Sensitive City Strategy </w:t>
      </w:r>
      <w:r w:rsidRPr="00A25F2C">
        <w:t xml:space="preserve">for Fishermans Bend. Proposed elements include a precinct-wide water recycling plant (in development by </w:t>
      </w:r>
      <w:proofErr w:type="gramStart"/>
      <w:r w:rsidRPr="00A25F2C">
        <w:t>South East</w:t>
      </w:r>
      <w:proofErr w:type="gramEnd"/>
      <w:r w:rsidRPr="00A25F2C">
        <w:t xml:space="preserve"> Water), water infrastructure integrated into streets and open spaces, green roofs, smart rainwater tanks and connecting all buildings to the recycled water. We look forward to implementing</w:t>
      </w:r>
      <w:r w:rsidR="00CA7A2A">
        <w:t xml:space="preserve"> </w:t>
      </w:r>
      <w:r w:rsidRPr="00A25F2C">
        <w:t xml:space="preserve">the strategy with delivery partners, as outlined in the </w:t>
      </w:r>
      <w:r w:rsidRPr="00A25F2C">
        <w:rPr>
          <w:i/>
        </w:rPr>
        <w:t>Water Sensitive City Strategy</w:t>
      </w:r>
      <w:r w:rsidRPr="00A25F2C">
        <w:t>, as the precinct progresses.</w:t>
      </w:r>
    </w:p>
    <w:p w14:paraId="0A1D34E0" w14:textId="6C13FE6D" w:rsidR="007F4791" w:rsidRPr="00A25F2C" w:rsidRDefault="00E23BDC" w:rsidP="00CA7A2A">
      <w:pPr>
        <w:pStyle w:val="Heading4"/>
      </w:pPr>
      <w:r>
        <w:t>Integrated Water Management</w:t>
      </w:r>
      <w:r w:rsidR="007F4791" w:rsidRPr="00A25F2C">
        <w:t xml:space="preserve"> Forums</w:t>
      </w:r>
    </w:p>
    <w:p w14:paraId="1D822675" w14:textId="1383E4AD" w:rsidR="007F4791" w:rsidRPr="00A25F2C" w:rsidRDefault="007F4791" w:rsidP="007F4791">
      <w:pPr>
        <w:pStyle w:val="BodyText"/>
      </w:pPr>
      <w:r w:rsidRPr="00A25F2C">
        <w:t xml:space="preserve">Alongside these significant collaborative strategies for the industry are the metropolitan </w:t>
      </w:r>
      <w:r w:rsidR="00E23BDC">
        <w:t>Integrated Water Management</w:t>
      </w:r>
      <w:r w:rsidRPr="00A25F2C">
        <w:t xml:space="preserve"> Forums, led </w:t>
      </w:r>
      <w:r w:rsidR="00FC6283" w:rsidRPr="00A25F2C">
        <w:t xml:space="preserve">by </w:t>
      </w:r>
      <w:r w:rsidR="00FC6283">
        <w:t>Department</w:t>
      </w:r>
      <w:r w:rsidR="00E23BDC">
        <w:t xml:space="preserve"> of Environment, Energy and Climate Action</w:t>
      </w:r>
      <w:r w:rsidRPr="00A25F2C">
        <w:t>, which bring together all organisations with an interest in the water cycle.</w:t>
      </w:r>
    </w:p>
    <w:p w14:paraId="250A0902" w14:textId="77777777" w:rsidR="007F4791" w:rsidRPr="00A25F2C" w:rsidRDefault="007F4791" w:rsidP="007F4791">
      <w:pPr>
        <w:pStyle w:val="BodyText"/>
      </w:pPr>
      <w:r w:rsidRPr="00A25F2C">
        <w:t>These forums recognise that each organisation has an important role to play in the management of our vital water resources, to collaborate on issues across the whole water cycle and to create a shared vision for the future of each catchment.</w:t>
      </w:r>
    </w:p>
    <w:p w14:paraId="0D08558A" w14:textId="33D43266" w:rsidR="007F4791" w:rsidRPr="00A25F2C" w:rsidRDefault="007F4791" w:rsidP="007F4791">
      <w:pPr>
        <w:pStyle w:val="BodyText"/>
      </w:pPr>
      <w:r w:rsidRPr="00A25F2C">
        <w:t xml:space="preserve">Melbourne Water supports and participates in these </w:t>
      </w:r>
      <w:r w:rsidR="00E23BDC">
        <w:t>Integrated Water Management</w:t>
      </w:r>
      <w:r w:rsidRPr="00A25F2C">
        <w:t xml:space="preserve"> forums, which provide an enabling environment to identify, prioritise and progress collaborative opportunities for investigation of and investment in </w:t>
      </w:r>
      <w:r w:rsidR="00E23BDC">
        <w:t>Integrated Water Management</w:t>
      </w:r>
      <w:r w:rsidRPr="00A25F2C">
        <w:t>. They also provide further opportunity for us to help protect waterways, reduce demands on drinking water reserves, better manage flooding risks and create a diverse water portfolio.</w:t>
      </w:r>
    </w:p>
    <w:p w14:paraId="13C6515F" w14:textId="0933BD99" w:rsidR="007F4791" w:rsidRPr="00A25F2C" w:rsidRDefault="007F4791" w:rsidP="007F4791">
      <w:pPr>
        <w:pStyle w:val="BodyText"/>
      </w:pPr>
      <w:r w:rsidRPr="00A25F2C">
        <w:t xml:space="preserve">Catchment-scale </w:t>
      </w:r>
      <w:r w:rsidR="00E23BDC">
        <w:t>Integrated Water Management</w:t>
      </w:r>
      <w:r w:rsidRPr="00A25F2C">
        <w:t xml:space="preserve"> (CSIWM) plans for each catchment shows the degree to which strategic investment in and achievement of the </w:t>
      </w:r>
      <w:r w:rsidR="00E23BDC">
        <w:t>Integrated Water Management</w:t>
      </w:r>
      <w:r w:rsidRPr="00A25F2C">
        <w:t xml:space="preserve"> outcomes moves the catchment towards improved liveability, water security, wastewater and flood risk management and environmental health. These plans include 23 Strategic Outcomes and three Enabling Targets at the catchment scale for each catchment, to drive an increased use of fit-for-purpose water sources, increased use of recovered wastewater, reduced damage due to flooding and to capture stormwater from urban development. In addition, Melbourne Water provides an integrated catchment approach to support the delivery of </w:t>
      </w:r>
      <w:r w:rsidR="00322518">
        <w:t>Catchment-scale Integrated Water Management</w:t>
      </w:r>
      <w:r w:rsidRPr="00A25F2C">
        <w:t xml:space="preserve"> plans.</w:t>
      </w:r>
    </w:p>
    <w:p w14:paraId="3A2C72DE" w14:textId="7B117AED" w:rsidR="007F4791" w:rsidRPr="00A25F2C" w:rsidRDefault="007F4791" w:rsidP="007F4791">
      <w:pPr>
        <w:pStyle w:val="BodyText"/>
      </w:pPr>
      <w:r w:rsidRPr="00A25F2C">
        <w:t xml:space="preserve">Development of the </w:t>
      </w:r>
      <w:r w:rsidR="00322518">
        <w:t>Catchment-scale Integrated Water Management</w:t>
      </w:r>
      <w:r w:rsidRPr="00A25F2C">
        <w:t xml:space="preserve"> action plans is currently in progress. These plans are intended to provide an agreed list of prioritised actions, with timeframes, aimed at delivering on the strategic outcomes and enablers for </w:t>
      </w:r>
      <w:r w:rsidR="00E23BDC">
        <w:t>Integrated Water Management</w:t>
      </w:r>
      <w:r w:rsidRPr="00A25F2C">
        <w:t>.</w:t>
      </w:r>
    </w:p>
    <w:p w14:paraId="563F81D1" w14:textId="2E6D35F1" w:rsidR="007F4791" w:rsidRPr="00A25F2C" w:rsidRDefault="007F4791" w:rsidP="007F4791">
      <w:pPr>
        <w:pStyle w:val="BodyText"/>
      </w:pPr>
      <w:r w:rsidRPr="00A25F2C">
        <w:lastRenderedPageBreak/>
        <w:t xml:space="preserve">The </w:t>
      </w:r>
      <w:r w:rsidR="00322518">
        <w:t>Catchment-scale Integrated Water Management</w:t>
      </w:r>
      <w:r w:rsidRPr="00A25F2C">
        <w:t xml:space="preserve"> plans and action plans refer to projects that will drive the change towards the shared vision. Melbourne Water is playing a leading role in delivering the following:</w:t>
      </w:r>
    </w:p>
    <w:p w14:paraId="5D642097" w14:textId="47A44893" w:rsidR="007F4791" w:rsidRPr="00A25F2C" w:rsidRDefault="007F4791" w:rsidP="007F4791">
      <w:pPr>
        <w:pStyle w:val="ListBullet"/>
      </w:pPr>
      <w:r w:rsidRPr="00A25F2C">
        <w:t xml:space="preserve">Sunbury’s Water Future – an </w:t>
      </w:r>
      <w:r w:rsidR="00E23BDC">
        <w:t>Integrated Water Management</w:t>
      </w:r>
      <w:r w:rsidRPr="00A25F2C">
        <w:t xml:space="preserve"> plan for Sunbury and the surrounding area to support 35,000 new constructed dwellings and 22,000 new jobs to the region</w:t>
      </w:r>
    </w:p>
    <w:p w14:paraId="65432FBF" w14:textId="3072941B" w:rsidR="007F4791" w:rsidRPr="00A25F2C" w:rsidRDefault="007F4791" w:rsidP="00F13D2F">
      <w:pPr>
        <w:pStyle w:val="ListBullet"/>
        <w:numPr>
          <w:ilvl w:val="0"/>
          <w:numId w:val="15"/>
        </w:numPr>
      </w:pPr>
      <w:r w:rsidRPr="00A25F2C">
        <w:t xml:space="preserve">Werribee Water Supply Reconfiguration – a collaborative project with Greater Western Water, Southern Rural Water </w:t>
      </w:r>
      <w:r w:rsidR="00FC6283" w:rsidRPr="00A25F2C">
        <w:t xml:space="preserve">and </w:t>
      </w:r>
      <w:r w:rsidR="00FC6283">
        <w:t>Department</w:t>
      </w:r>
      <w:r w:rsidR="00E23BDC">
        <w:t xml:space="preserve"> of Environment, Energy and Climate Action</w:t>
      </w:r>
      <w:r w:rsidRPr="00A25F2C">
        <w:t xml:space="preserve"> to reconfigure the Werribee water supply system to improve use of all sources of water and reservoirs in the local system, providing more climate resilience and protecting precious waterways</w:t>
      </w:r>
    </w:p>
    <w:p w14:paraId="5D8BABFE" w14:textId="77777777" w:rsidR="007F4791" w:rsidRPr="00A25F2C" w:rsidRDefault="007F4791" w:rsidP="007F4791">
      <w:pPr>
        <w:pStyle w:val="ListBullet"/>
      </w:pPr>
      <w:r w:rsidRPr="00A25F2C">
        <w:t>multi-benefit flood mitigation and open space within the Arden-Macaulay area undergoing significant urban renewal over the next 30 years</w:t>
      </w:r>
    </w:p>
    <w:p w14:paraId="525227E8" w14:textId="77777777" w:rsidR="007F4791" w:rsidRPr="00A25F2C" w:rsidRDefault="007F4791" w:rsidP="007F4791">
      <w:pPr>
        <w:pStyle w:val="ListBullet"/>
      </w:pPr>
      <w:r w:rsidRPr="00A25F2C">
        <w:t>rejuvenating the Moonee Ponds Creek.</w:t>
      </w:r>
    </w:p>
    <w:p w14:paraId="71A71EB4" w14:textId="4F0FBDB8" w:rsidR="007F4791" w:rsidRPr="00A25F2C" w:rsidRDefault="007F4791" w:rsidP="007F4791">
      <w:pPr>
        <w:pStyle w:val="BodyText"/>
      </w:pPr>
      <w:r w:rsidRPr="00A25F2C">
        <w:t>In setting our organisational goals, Melbourne Water recognises that we need to move beyond a project-by-project approach</w:t>
      </w:r>
      <w:r w:rsidR="00CA7A2A">
        <w:t xml:space="preserve"> </w:t>
      </w:r>
      <w:r w:rsidRPr="00A25F2C">
        <w:t xml:space="preserve">to truly embed </w:t>
      </w:r>
      <w:r w:rsidR="00E23BDC">
        <w:t>Integrated Water Management</w:t>
      </w:r>
      <w:r w:rsidRPr="00A25F2C">
        <w:t xml:space="preserve"> into how we operate. This means being clear on the governance, investment frameworks and incentives for delivery. Over the coming years, we are committed to addressing the systemic barriers to the implementation of </w:t>
      </w:r>
      <w:r w:rsidR="00E23BDC">
        <w:t>Integrated Water Management</w:t>
      </w:r>
      <w:r w:rsidRPr="00A25F2C">
        <w:t xml:space="preserve"> in collaboration with our </w:t>
      </w:r>
      <w:r w:rsidR="00E23BDC">
        <w:t>Integrated Water Management</w:t>
      </w:r>
      <w:r w:rsidRPr="00A25F2C">
        <w:t xml:space="preserve"> Forum partners.</w:t>
      </w:r>
    </w:p>
    <w:p w14:paraId="3351D481" w14:textId="02E37B16" w:rsidR="007F4791" w:rsidRPr="00A25F2C" w:rsidRDefault="007F4791" w:rsidP="00CA7A2A">
      <w:pPr>
        <w:pStyle w:val="Heading4"/>
      </w:pPr>
      <w:r w:rsidRPr="00A25F2C">
        <w:t>Water efficiency</w:t>
      </w:r>
    </w:p>
    <w:p w14:paraId="65522F1B" w14:textId="77777777" w:rsidR="007F4791" w:rsidRPr="00A25F2C" w:rsidRDefault="007F4791" w:rsidP="007F4791">
      <w:pPr>
        <w:pStyle w:val="BodyText"/>
      </w:pPr>
      <w:r w:rsidRPr="00A25F2C">
        <w:t>Each year, Melbourne Water reviews and reports on the rate of leakage from the water supply system. Sources of water loss within Melbourne Water’s supply network typically include leaks from aqueducts, pipelines, valves and fittings, tank cleaning and operational losses. Melbourne Water has a key performance indicator of no more than 1 per cent water loss of the total volume supplied to our retail water customers.</w:t>
      </w:r>
    </w:p>
    <w:p w14:paraId="1CE5FB46" w14:textId="77777777" w:rsidR="007F4791" w:rsidRPr="00A25F2C" w:rsidRDefault="007F4791" w:rsidP="00CA7A2A">
      <w:pPr>
        <w:pStyle w:val="Heading5"/>
      </w:pPr>
      <w:r w:rsidRPr="00A25F2C">
        <w:t>Education for water efficiency</w:t>
      </w:r>
    </w:p>
    <w:p w14:paraId="21B05202" w14:textId="666FE62A" w:rsidR="00143D6B" w:rsidRDefault="007F4791" w:rsidP="007F4791">
      <w:pPr>
        <w:pStyle w:val="BodyText"/>
      </w:pPr>
      <w:r w:rsidRPr="00A25F2C">
        <w:t>Melbourne Water is committed to continuing community education on water issues and fostering a water efficient society. We continue to work closely with Melbourne’s retail water companies to promote efficient water use through public awareness campaigns, such as the Make Every Drop Count behaviour change campaign and the Target 150 program.</w:t>
      </w:r>
      <w:r w:rsidR="00CA7A2A">
        <w:t xml:space="preserve"> </w:t>
      </w:r>
      <w:r w:rsidRPr="00A25F2C">
        <w:t>Our community awareness programs have contributed to Melburnians using much less water per person than they did 20 years ago; down from 247 litres per person per day in 2000-01 to 166 litres per person per day in 2021-22.</w:t>
      </w:r>
    </w:p>
    <w:p w14:paraId="1EDC8A23" w14:textId="4E655D12" w:rsidR="007F4791" w:rsidRPr="00A25F2C" w:rsidRDefault="007F4791" w:rsidP="00CA7A2A">
      <w:pPr>
        <w:pStyle w:val="Heading5"/>
      </w:pPr>
      <w:r w:rsidRPr="00A25F2C">
        <w:t>Target 150</w:t>
      </w:r>
    </w:p>
    <w:p w14:paraId="0DAC346A" w14:textId="77777777" w:rsidR="007F4791" w:rsidRPr="00A25F2C" w:rsidRDefault="007F4791" w:rsidP="007F4791">
      <w:pPr>
        <w:pStyle w:val="BodyText"/>
      </w:pPr>
      <w:r w:rsidRPr="00A25F2C">
        <w:t>Since the Millennium Drought and through subsequent voluntary water efficiency campaigns, Melbourne’s average residential water use has decreased by one third since 2001.</w:t>
      </w:r>
    </w:p>
    <w:p w14:paraId="226375DD" w14:textId="7BB3915E" w:rsidR="007F4791" w:rsidRPr="00A25F2C" w:rsidRDefault="007F4791" w:rsidP="007F4791">
      <w:pPr>
        <w:pStyle w:val="BodyText"/>
      </w:pPr>
      <w:r w:rsidRPr="00A25F2C">
        <w:t xml:space="preserve">Through the </w:t>
      </w:r>
      <w:r w:rsidR="00E23BDC">
        <w:t>Central and Gippsland Region Sustainable Water Strategy</w:t>
      </w:r>
      <w:r w:rsidRPr="00A25F2C">
        <w:t>, the Victorian Government is setting a new aspirational residential water use target for Melbourne of 150 litres per person per day.</w:t>
      </w:r>
    </w:p>
    <w:p w14:paraId="5CAD7155" w14:textId="77777777" w:rsidR="007F4791" w:rsidRPr="00A25F2C" w:rsidRDefault="007F4791" w:rsidP="007F4791">
      <w:pPr>
        <w:pStyle w:val="BodyText"/>
      </w:pPr>
      <w:r w:rsidRPr="00A25F2C">
        <w:t>To achieve this target, Melbourne Water will continue working with government and the water sector to invest in water efficiency measures to help reduce current demand and meet future demand for water, together with augmenting the supply system with new water supplies.</w:t>
      </w:r>
    </w:p>
    <w:p w14:paraId="04E19FC0" w14:textId="77777777" w:rsidR="007F4791" w:rsidRPr="00A25F2C" w:rsidRDefault="007F4791" w:rsidP="007F4791">
      <w:pPr>
        <w:pStyle w:val="BodyText"/>
      </w:pPr>
      <w:r w:rsidRPr="00A25F2C">
        <w:t>Water efficiency initiatives being delivered or explored within the greater Melbourne water sector include:</w:t>
      </w:r>
    </w:p>
    <w:p w14:paraId="5EBA425E" w14:textId="77777777" w:rsidR="007F4791" w:rsidRPr="00A25F2C" w:rsidRDefault="007F4791" w:rsidP="007F4791">
      <w:pPr>
        <w:pStyle w:val="ListBullet"/>
      </w:pPr>
      <w:r w:rsidRPr="00A25F2C">
        <w:t>investing in and developing digital support for water efficiency programs</w:t>
      </w:r>
    </w:p>
    <w:p w14:paraId="2A910424" w14:textId="77777777" w:rsidR="007F4791" w:rsidRPr="00A25F2C" w:rsidRDefault="007F4791" w:rsidP="007F4791">
      <w:pPr>
        <w:pStyle w:val="ListBullet"/>
      </w:pPr>
      <w:r w:rsidRPr="00A25F2C">
        <w:t>partnering with large water use customers to tailor and optimise water efficiency programs to meet their needs</w:t>
      </w:r>
    </w:p>
    <w:p w14:paraId="18589373" w14:textId="77777777" w:rsidR="007F4791" w:rsidRPr="00A25F2C" w:rsidRDefault="007F4791" w:rsidP="007F4791">
      <w:pPr>
        <w:pStyle w:val="ListBullet"/>
      </w:pPr>
      <w:r w:rsidRPr="00A25F2C">
        <w:t>continuing to deliver the Schools Water Efficiency Program to more schools in greater Melbourne</w:t>
      </w:r>
    </w:p>
    <w:p w14:paraId="191D695D" w14:textId="77777777" w:rsidR="007F4791" w:rsidRPr="00A25F2C" w:rsidRDefault="007F4791" w:rsidP="007F4791">
      <w:pPr>
        <w:pStyle w:val="ListBullet"/>
      </w:pPr>
      <w:r w:rsidRPr="00A25F2C">
        <w:t>delivering initiatives for effective management of non- revenue water and managing water losses</w:t>
      </w:r>
    </w:p>
    <w:p w14:paraId="185FCC4F" w14:textId="77777777" w:rsidR="007F4791" w:rsidRPr="00A25F2C" w:rsidRDefault="007F4791" w:rsidP="007F4791">
      <w:pPr>
        <w:pStyle w:val="ListBullet"/>
      </w:pPr>
      <w:r w:rsidRPr="00A25F2C">
        <w:lastRenderedPageBreak/>
        <w:t>delivering a joint Water Efficiency Plan to increase our focus on water conservation and cost-effective water savings.</w:t>
      </w:r>
    </w:p>
    <w:p w14:paraId="2E2DBD08" w14:textId="77777777" w:rsidR="007F4791" w:rsidRPr="00A25F2C" w:rsidRDefault="007F4791" w:rsidP="007F4791">
      <w:pPr>
        <w:pStyle w:val="BodyText"/>
      </w:pPr>
      <w:r w:rsidRPr="00A25F2C">
        <w:t>Melbourne Water will also continue to promote the need to reduce the residential per capita water use in Melbourne to 150 litres per person per day through marketing and education campaigns.</w:t>
      </w:r>
    </w:p>
    <w:p w14:paraId="2BB99694" w14:textId="77777777" w:rsidR="007F4791" w:rsidRPr="00A25F2C" w:rsidRDefault="007F4791" w:rsidP="00CA7A2A">
      <w:pPr>
        <w:pStyle w:val="Heading4"/>
      </w:pPr>
      <w:r w:rsidRPr="00A25F2C">
        <w:t>Melbourne Urban Stormwater Institutional Arrangements</w:t>
      </w:r>
    </w:p>
    <w:p w14:paraId="67E73052" w14:textId="0F0DE029" w:rsidR="007F4791" w:rsidRPr="00A25F2C" w:rsidRDefault="007F4791" w:rsidP="007F4791">
      <w:pPr>
        <w:pStyle w:val="BodyText"/>
      </w:pPr>
      <w:r w:rsidRPr="00A25F2C">
        <w:t>Melbourne Water is a key contributor to the Melbourne Urban Stormwater Institutional Arrangements that define the respective accountabilities of Melbourne Water and</w:t>
      </w:r>
      <w:r w:rsidR="00CA7A2A">
        <w:t xml:space="preserve"> </w:t>
      </w:r>
      <w:r w:rsidRPr="00A25F2C">
        <w:t>Melbourne’s councils for managing urban stormwater and flood management assets and services in the region.</w:t>
      </w:r>
    </w:p>
    <w:p w14:paraId="2B35ABFB" w14:textId="04F084A7" w:rsidR="007F4791" w:rsidRPr="00A25F2C" w:rsidRDefault="007F4791" w:rsidP="007F4791">
      <w:pPr>
        <w:pStyle w:val="BodyText"/>
      </w:pPr>
      <w:r w:rsidRPr="00A25F2C">
        <w:t xml:space="preserve">As an action in the </w:t>
      </w:r>
      <w:r w:rsidR="00E23BDC">
        <w:t>Central and Gippsland Region Sustainable Water Strategy</w:t>
      </w:r>
      <w:r w:rsidRPr="00A25F2C">
        <w:t xml:space="preserve">, Melbourne Water will work closely </w:t>
      </w:r>
      <w:r w:rsidR="00FC6283" w:rsidRPr="00A25F2C">
        <w:t xml:space="preserve">with </w:t>
      </w:r>
      <w:r w:rsidR="00FC6283">
        <w:t>Department</w:t>
      </w:r>
      <w:r w:rsidR="00E23BDC">
        <w:t xml:space="preserve"> of Environment, Energy and Climate Action</w:t>
      </w:r>
      <w:r w:rsidRPr="00A25F2C">
        <w:t xml:space="preserve"> and the Municipal Association of Victoria on the implementation of the preferred improved 60-hectare option into policy by 2028. We will continue to play a role in options assessment that supports streamlining services, which better enable us to achieve broader strategic outcomes such as </w:t>
      </w:r>
      <w:r w:rsidR="00E23BDC">
        <w:t>Integrated Water Management</w:t>
      </w:r>
      <w:r w:rsidRPr="00A25F2C">
        <w:t xml:space="preserve"> and waterway protection.</w:t>
      </w:r>
    </w:p>
    <w:p w14:paraId="45138F21" w14:textId="6BF59DFB" w:rsidR="007F4791" w:rsidRPr="00A25F2C" w:rsidRDefault="007F4791" w:rsidP="00CA7A2A">
      <w:pPr>
        <w:pStyle w:val="Heading3"/>
      </w:pPr>
      <w:bookmarkStart w:id="22" w:name="_Toc147756870"/>
      <w:r w:rsidRPr="00A25F2C">
        <w:t>Our long-term plan</w:t>
      </w:r>
      <w:bookmarkEnd w:id="22"/>
    </w:p>
    <w:p w14:paraId="1A66C1C1" w14:textId="0A38B205" w:rsidR="007F4791" w:rsidRPr="00A25F2C" w:rsidRDefault="007F4791" w:rsidP="007F4791">
      <w:pPr>
        <w:pStyle w:val="BodyText"/>
      </w:pPr>
      <w:r w:rsidRPr="00A25F2C">
        <w:t xml:space="preserve">By working with the broader sector to achieve and implement </w:t>
      </w:r>
      <w:r w:rsidR="00322518">
        <w:t>Catchment-scale Integrated Water Management</w:t>
      </w:r>
      <w:r w:rsidRPr="00A25F2C">
        <w:t xml:space="preserve"> plans, Melbourne Water aims to have moved from a project-by-project approach to a systemic approach to </w:t>
      </w:r>
      <w:r w:rsidR="00E23BDC">
        <w:t>Integrated Water Management</w:t>
      </w:r>
      <w:r w:rsidRPr="00A25F2C">
        <w:t xml:space="preserve"> by 2027, as an integral part of the way we do business.</w:t>
      </w:r>
    </w:p>
    <w:p w14:paraId="7323B7A4" w14:textId="645EC3F2" w:rsidR="007F4791" w:rsidRPr="00A25F2C" w:rsidRDefault="007F4791" w:rsidP="007F4791">
      <w:pPr>
        <w:pStyle w:val="BodyText"/>
      </w:pPr>
      <w:r w:rsidRPr="00A25F2C">
        <w:t xml:space="preserve">We are committed to building on our agility and resilience. We plan for our operating challenges to push forward in areas such as </w:t>
      </w:r>
      <w:r w:rsidR="00E23BDC">
        <w:t>Integrated Water Management</w:t>
      </w:r>
      <w:r w:rsidRPr="00A25F2C">
        <w:t>, the circular economy, flood management and growing our region’s water supplies, including desalination and a greater use of recycled and stormwater.</w:t>
      </w:r>
    </w:p>
    <w:p w14:paraId="58A0CDA6" w14:textId="5B2E0E79" w:rsidR="007F4791" w:rsidRPr="00A25F2C" w:rsidRDefault="007F4791" w:rsidP="007F4791">
      <w:pPr>
        <w:pStyle w:val="BodyText"/>
      </w:pPr>
      <w:r w:rsidRPr="00A25F2C">
        <w:t xml:space="preserve">Co-delivering the </w:t>
      </w:r>
      <w:r w:rsidRPr="00A25F2C">
        <w:rPr>
          <w:i/>
        </w:rPr>
        <w:t xml:space="preserve">Flood Management Strategy Port Philip and Westernport 2021–2031 </w:t>
      </w:r>
      <w:r w:rsidRPr="00A25F2C">
        <w:t>will allow us to scope further</w:t>
      </w:r>
      <w:r w:rsidR="00CA7A2A">
        <w:t xml:space="preserve"> </w:t>
      </w:r>
      <w:r w:rsidRPr="00A25F2C">
        <w:t>opportunities to accelerate the program with our partners to build flood resilience across the Port Phillip and Westernport catchments.</w:t>
      </w:r>
    </w:p>
    <w:p w14:paraId="2BFE352B" w14:textId="77777777" w:rsidR="007F4791" w:rsidRPr="00A25F2C" w:rsidRDefault="007F4791" w:rsidP="007F4791">
      <w:pPr>
        <w:pStyle w:val="BodyText"/>
      </w:pPr>
      <w:r w:rsidRPr="00A25F2C">
        <w:t xml:space="preserve">Guided by the </w:t>
      </w:r>
      <w:r w:rsidRPr="00A25F2C">
        <w:rPr>
          <w:i/>
        </w:rPr>
        <w:t>Flood Management Strategy</w:t>
      </w:r>
      <w:r w:rsidRPr="00A25F2C">
        <w:t>, our flood risk management work is focused on five key areas:</w:t>
      </w:r>
    </w:p>
    <w:p w14:paraId="524A809F" w14:textId="77777777" w:rsidR="007F4791" w:rsidRPr="00A25F2C" w:rsidRDefault="007F4791" w:rsidP="007F4791">
      <w:pPr>
        <w:pStyle w:val="ListBullet"/>
      </w:pPr>
      <w:r w:rsidRPr="00A25F2C">
        <w:t>preparing for and mitigating the impacts of flooding</w:t>
      </w:r>
    </w:p>
    <w:p w14:paraId="0F3530FA" w14:textId="77777777" w:rsidR="007F4791" w:rsidRPr="00A25F2C" w:rsidRDefault="007F4791" w:rsidP="007F4791">
      <w:pPr>
        <w:pStyle w:val="ListBullet"/>
      </w:pPr>
      <w:r w:rsidRPr="00A25F2C">
        <w:t>maintaining and renewing the region’s drainage network</w:t>
      </w:r>
    </w:p>
    <w:p w14:paraId="06A498CD" w14:textId="77777777" w:rsidR="007F4791" w:rsidRPr="00A25F2C" w:rsidRDefault="007F4791" w:rsidP="007F4791">
      <w:pPr>
        <w:pStyle w:val="ListBullet"/>
      </w:pPr>
      <w:r w:rsidRPr="00A25F2C">
        <w:t>providing enhanced rural drainage services in the Koo Wee Rup and Longwarry Flood Protection Districts (fee-for- service)</w:t>
      </w:r>
    </w:p>
    <w:p w14:paraId="7386A9DD" w14:textId="77777777" w:rsidR="007F4791" w:rsidRPr="00A25F2C" w:rsidRDefault="007F4791" w:rsidP="007F4791">
      <w:pPr>
        <w:pStyle w:val="ListBullet"/>
      </w:pPr>
      <w:r w:rsidRPr="00A25F2C">
        <w:t>modelling and mapping flood risks, and providing flood information</w:t>
      </w:r>
    </w:p>
    <w:p w14:paraId="102F88BC" w14:textId="77777777" w:rsidR="007F4791" w:rsidRPr="00A25F2C" w:rsidRDefault="007F4791" w:rsidP="007F4791">
      <w:pPr>
        <w:pStyle w:val="ListBullet"/>
      </w:pPr>
      <w:r w:rsidRPr="00A25F2C">
        <w:t>strategic planning.</w:t>
      </w:r>
    </w:p>
    <w:p w14:paraId="0A9D5B1C" w14:textId="77777777" w:rsidR="007F4791" w:rsidRPr="00A25F2C" w:rsidRDefault="007F4791" w:rsidP="007F4791">
      <w:pPr>
        <w:pStyle w:val="BodyText"/>
      </w:pPr>
      <w:r w:rsidRPr="00A25F2C">
        <w:t xml:space="preserve">Under the </w:t>
      </w:r>
      <w:r w:rsidRPr="00A25F2C">
        <w:rPr>
          <w:i/>
        </w:rPr>
        <w:t>Flood Management Strategy</w:t>
      </w:r>
      <w:r w:rsidRPr="00A25F2C">
        <w:t>, we will also continue to deliver the Community Engagement for Disaster Risk Reduction program with the University of Melbourne. The program aim is to engage with 4,500 households in flood affected communities over five years to raise awareness and empower communities to be more flood ready.</w:t>
      </w:r>
    </w:p>
    <w:p w14:paraId="51BCE73C" w14:textId="77777777" w:rsidR="007F4791" w:rsidRPr="00A25F2C" w:rsidRDefault="007F4791" w:rsidP="007F4791">
      <w:pPr>
        <w:pStyle w:val="BodyText"/>
      </w:pPr>
      <w:r w:rsidRPr="00A25F2C">
        <w:t>As the wholesaler for the Melbourne system and with support from Melbourne’s retail water companies and government, Melbourne Water is committed to working with the sector as part of an integrated portfolio approach.</w:t>
      </w:r>
    </w:p>
    <w:p w14:paraId="402967C5" w14:textId="77777777" w:rsidR="00143D6B" w:rsidRDefault="007F4791" w:rsidP="007F4791">
      <w:pPr>
        <w:pStyle w:val="BodyText"/>
      </w:pPr>
      <w:r w:rsidRPr="00A25F2C">
        <w:t xml:space="preserve">In line with the </w:t>
      </w:r>
      <w:r w:rsidRPr="00A25F2C">
        <w:rPr>
          <w:i/>
        </w:rPr>
        <w:t>Melbourne Sewerage Strategy</w:t>
      </w:r>
      <w:r w:rsidRPr="00A25F2C">
        <w:t xml:space="preserve">, we will continue to progress with strategic planning for our Eastern Treatment Plant and Western Treatment Plant to ensure that we continue to provide a safe and reliable sewerage service for Melbourne, while also increasing the resilience of and </w:t>
      </w:r>
      <w:proofErr w:type="gramStart"/>
      <w:r w:rsidRPr="00A25F2C">
        <w:t>future-proofing</w:t>
      </w:r>
      <w:proofErr w:type="gramEnd"/>
      <w:r w:rsidRPr="00A25F2C">
        <w:t xml:space="preserve"> for our systems and assets.</w:t>
      </w:r>
    </w:p>
    <w:p w14:paraId="2C759E8C" w14:textId="7B427903" w:rsidR="007F4791" w:rsidRPr="00A25F2C" w:rsidRDefault="007F4791" w:rsidP="007F4791">
      <w:pPr>
        <w:pStyle w:val="BodyText"/>
      </w:pPr>
      <w:r w:rsidRPr="00A25F2C">
        <w:lastRenderedPageBreak/>
        <w:t>A focus on effective management of our protected water supply catchments will continue, ensuring resilience to changes resulting from drivers such as bushfires, pest species and policy change, while continuing to understand emerging threats to our services.</w:t>
      </w:r>
    </w:p>
    <w:p w14:paraId="1C47926F" w14:textId="0D7E9768" w:rsidR="007F4791" w:rsidRPr="00A25F2C" w:rsidRDefault="007F4791" w:rsidP="007F4791">
      <w:pPr>
        <w:pStyle w:val="BodyText"/>
      </w:pPr>
      <w:r w:rsidRPr="00A25F2C">
        <w:t>Our waterways will thrive by influencing opportunities for waterways and blue-green corridor infrastructure planning, and we will continue to partner with volunteers, community,</w:t>
      </w:r>
      <w:r w:rsidR="00CA7A2A">
        <w:t xml:space="preserve"> </w:t>
      </w:r>
      <w:proofErr w:type="gramStart"/>
      <w:r w:rsidRPr="00A25F2C">
        <w:t>councils</w:t>
      </w:r>
      <w:proofErr w:type="gramEnd"/>
      <w:r w:rsidRPr="00A25F2C">
        <w:t xml:space="preserve"> and Traditional Owners for waterway management and to deliver on the </w:t>
      </w:r>
      <w:r w:rsidRPr="00A25F2C">
        <w:rPr>
          <w:i/>
        </w:rPr>
        <w:t>Healthy Waterways Strategy 2018</w:t>
      </w:r>
      <w:r w:rsidRPr="00A25F2C">
        <w:t>.</w:t>
      </w:r>
    </w:p>
    <w:p w14:paraId="00C970D0" w14:textId="77777777" w:rsidR="007F4791" w:rsidRPr="00A25F2C" w:rsidRDefault="007F4791" w:rsidP="007F4791">
      <w:pPr>
        <w:pStyle w:val="BodyText"/>
      </w:pPr>
      <w:r w:rsidRPr="00A25F2C">
        <w:t xml:space="preserve">Melbourne Water will also continue to partner with a range of agencies that manage land and water to engage in planning for blue-green corridors that achieves shared, multiple benefits and outcomes. </w:t>
      </w:r>
      <w:proofErr w:type="gramStart"/>
      <w:r w:rsidRPr="00A25F2C">
        <w:t>Future plans</w:t>
      </w:r>
      <w:proofErr w:type="gramEnd"/>
      <w:r w:rsidRPr="00A25F2C">
        <w:t xml:space="preserve"> will focus on priority areas, based on needs for community access to open space, connection to nature and amenity improvements.</w:t>
      </w:r>
    </w:p>
    <w:p w14:paraId="4AF98FCA" w14:textId="731F3D5D" w:rsidR="007F4791" w:rsidRPr="00A25F2C" w:rsidRDefault="007F4791" w:rsidP="007F4791">
      <w:pPr>
        <w:pStyle w:val="BodyText"/>
      </w:pPr>
      <w:r w:rsidRPr="00A25F2C">
        <w:t xml:space="preserve">As the </w:t>
      </w:r>
      <w:r w:rsidR="00322518">
        <w:t>Catchment Management Authority</w:t>
      </w:r>
      <w:r w:rsidRPr="00A25F2C">
        <w:t xml:space="preserve"> for the Port Phillip and Westernport region, we will continue our commitment to work collaboratively with other </w:t>
      </w:r>
      <w:r w:rsidR="00322518">
        <w:t>Catchment Management Authoritie</w:t>
      </w:r>
      <w:r w:rsidRPr="00A25F2C">
        <w:t>s across Victoria to strengthen collaboration and performance in the catchment management sector.</w:t>
      </w:r>
    </w:p>
    <w:p w14:paraId="630E0303" w14:textId="48BA9FB8" w:rsidR="007F4791" w:rsidRPr="00A25F2C" w:rsidRDefault="007F4791" w:rsidP="00CA7A2A">
      <w:pPr>
        <w:pStyle w:val="Heading3"/>
      </w:pPr>
      <w:bookmarkStart w:id="23" w:name="_Toc147756871"/>
      <w:r w:rsidRPr="00A25F2C">
        <w:t>The year ahead</w:t>
      </w:r>
      <w:bookmarkEnd w:id="23"/>
    </w:p>
    <w:p w14:paraId="2B966C19" w14:textId="77777777" w:rsidR="007F4791" w:rsidRPr="00A25F2C" w:rsidRDefault="007F4791" w:rsidP="007F4791">
      <w:pPr>
        <w:pStyle w:val="BodyText"/>
      </w:pPr>
      <w:r w:rsidRPr="00A25F2C">
        <w:t>Recently, increased rainfall has highlighted how disruptive flooding can be for communities. Climate change and population growth is anticipated to worsen the impacts of urban flooding over time. We have the opportunity now to get on the front foot, and we look forward to learning from and actioning the findings of the independent review, supported by Melbourne Water, to better understand the causes and contributors to the October 2022 Maribyrnong River flood event. In addition, we will continue to review acceleration strategies based on our learnings.</w:t>
      </w:r>
    </w:p>
    <w:p w14:paraId="44BDC509" w14:textId="77777777" w:rsidR="007F4791" w:rsidRPr="00A25F2C" w:rsidRDefault="007F4791" w:rsidP="007F4791">
      <w:pPr>
        <w:pStyle w:val="BodyText"/>
      </w:pPr>
      <w:r w:rsidRPr="00A25F2C">
        <w:t>In the near term, we also aim to take an active approach to clarify and articulate our role in the grid and in the management of new water sources to best enable water security with the sector. We will work with the community to ensure they are informed and ready for future water sources.</w:t>
      </w:r>
    </w:p>
    <w:p w14:paraId="3F3CCED3" w14:textId="77777777" w:rsidR="007F4791" w:rsidRPr="00A25F2C" w:rsidRDefault="007F4791" w:rsidP="007F4791">
      <w:pPr>
        <w:pStyle w:val="BodyText"/>
      </w:pPr>
      <w:r w:rsidRPr="00A25F2C">
        <w:t>In addition, Melbourne Water will continue to:</w:t>
      </w:r>
    </w:p>
    <w:p w14:paraId="1AD7455A" w14:textId="77777777" w:rsidR="007F4791" w:rsidRPr="00A25F2C" w:rsidRDefault="007F4791" w:rsidP="007F4791">
      <w:pPr>
        <w:pStyle w:val="ListBullet"/>
      </w:pPr>
      <w:r w:rsidRPr="00A25F2C">
        <w:t xml:space="preserve">implement strategies, practical </w:t>
      </w:r>
      <w:proofErr w:type="gramStart"/>
      <w:r w:rsidRPr="00A25F2C">
        <w:t>guidelines</w:t>
      </w:r>
      <w:proofErr w:type="gramEnd"/>
      <w:r w:rsidRPr="00A25F2C">
        <w:t xml:space="preserve"> and projects to make the most of open space for community health and wellbeing</w:t>
      </w:r>
    </w:p>
    <w:p w14:paraId="4F8C5939" w14:textId="77777777" w:rsidR="007F4791" w:rsidRPr="00A25F2C" w:rsidRDefault="007F4791" w:rsidP="007F4791">
      <w:pPr>
        <w:pStyle w:val="ListBullet"/>
      </w:pPr>
      <w:r w:rsidRPr="00A25F2C">
        <w:t>deliver on commitments outlined in Waterways of the West</w:t>
      </w:r>
    </w:p>
    <w:p w14:paraId="5647BD24" w14:textId="1FCF0004" w:rsidR="007F4791" w:rsidRPr="00A25F2C" w:rsidRDefault="007F4791" w:rsidP="007F4791">
      <w:pPr>
        <w:pStyle w:val="ListBullet"/>
      </w:pPr>
      <w:r w:rsidRPr="00A25F2C">
        <w:t xml:space="preserve">play our role in the implementation of the </w:t>
      </w:r>
      <w:r w:rsidR="00E23BDC">
        <w:t>Central and Gippsland Region Sustainable Water Strategy</w:t>
      </w:r>
    </w:p>
    <w:p w14:paraId="192FFB54" w14:textId="77777777" w:rsidR="007F4791" w:rsidRPr="00A25F2C" w:rsidRDefault="007F4791" w:rsidP="007F4791">
      <w:pPr>
        <w:pStyle w:val="ListBullet"/>
        <w:rPr>
          <w:i/>
        </w:rPr>
      </w:pPr>
      <w:r w:rsidRPr="00A25F2C">
        <w:t xml:space="preserve">play a leading role in the implementation of the actions stemming from </w:t>
      </w:r>
      <w:r w:rsidRPr="00A25F2C">
        <w:rPr>
          <w:i/>
        </w:rPr>
        <w:t>Water for Life</w:t>
      </w:r>
    </w:p>
    <w:p w14:paraId="60C9728C" w14:textId="11BCA51B" w:rsidR="007F4791" w:rsidRPr="00A25F2C" w:rsidRDefault="007F4791" w:rsidP="007F4791">
      <w:pPr>
        <w:pStyle w:val="ListBullet"/>
      </w:pPr>
      <w:r w:rsidRPr="00A25F2C">
        <w:t xml:space="preserve">deliver </w:t>
      </w:r>
      <w:r w:rsidR="00322518">
        <w:t>Catchment Management Authority</w:t>
      </w:r>
      <w:r w:rsidRPr="00A25F2C">
        <w:t xml:space="preserve"> projects and programs in line with our responsibility as the </w:t>
      </w:r>
      <w:r w:rsidR="00E23BDC">
        <w:t>Port Phillip Westernport Catchment Management Authority</w:t>
      </w:r>
    </w:p>
    <w:p w14:paraId="5F85D51A" w14:textId="77777777" w:rsidR="00143D6B" w:rsidRDefault="007F4791" w:rsidP="007F4791">
      <w:pPr>
        <w:pStyle w:val="ListBullet"/>
      </w:pPr>
      <w:r w:rsidRPr="00A25F2C">
        <w:t xml:space="preserve">report on implementation of the </w:t>
      </w:r>
      <w:r w:rsidRPr="00A25F2C">
        <w:rPr>
          <w:i/>
        </w:rPr>
        <w:t xml:space="preserve">Regional Catchment Strategy </w:t>
      </w:r>
      <w:r w:rsidRPr="00A25F2C">
        <w:t xml:space="preserve">and the </w:t>
      </w:r>
      <w:r w:rsidRPr="00A25F2C">
        <w:rPr>
          <w:i/>
        </w:rPr>
        <w:t>Healthy Waterways Strategy 2018</w:t>
      </w:r>
      <w:r w:rsidRPr="00A25F2C">
        <w:t>.</w:t>
      </w:r>
    </w:p>
    <w:p w14:paraId="566BBE14" w14:textId="77777777" w:rsidR="00025489" w:rsidRPr="00025489" w:rsidRDefault="00025489" w:rsidP="00025489">
      <w:pPr>
        <w:pStyle w:val="BodyText"/>
        <w:rPr>
          <w:b/>
        </w:rPr>
      </w:pPr>
      <w:r w:rsidRPr="00025489">
        <w:rPr>
          <w:b/>
        </w:rPr>
        <w:t>Delivering on</w:t>
      </w:r>
    </w:p>
    <w:p w14:paraId="7E67F834" w14:textId="368D4FA0" w:rsidR="00025489" w:rsidRPr="00025489" w:rsidRDefault="00025489" w:rsidP="00025489">
      <w:pPr>
        <w:pStyle w:val="ListBullet"/>
      </w:pPr>
      <w:r w:rsidRPr="00025489">
        <w:t>Sustainable Development Goal 3: Good Health and Well-being</w:t>
      </w:r>
    </w:p>
    <w:p w14:paraId="55050633" w14:textId="09136465" w:rsidR="007F4791" w:rsidRPr="00A25F2C" w:rsidRDefault="00025489" w:rsidP="00025489">
      <w:pPr>
        <w:pStyle w:val="ListBullet"/>
      </w:pPr>
      <w:r w:rsidRPr="00025489">
        <w:t>Sustainable Development Goal 11: Sustainable Cities and Communities</w:t>
      </w:r>
      <w:r w:rsidRPr="00025489">
        <w:rPr>
          <w:noProof/>
        </w:rPr>
        <w:t xml:space="preserve"> </w:t>
      </w:r>
    </w:p>
    <w:p w14:paraId="6ED885C6" w14:textId="3C3F89F5" w:rsidR="00143D6B" w:rsidRDefault="007F4791" w:rsidP="00FC6283">
      <w:pPr>
        <w:pStyle w:val="GreyBox"/>
      </w:pPr>
      <w:r w:rsidRPr="00A25F2C">
        <w:t>Water for Victoria chapter</w:t>
      </w:r>
      <w:r w:rsidR="00AD44C6">
        <w:t xml:space="preserve"> </w:t>
      </w:r>
      <w:r w:rsidRPr="00A25F2C">
        <w:t>5</w:t>
      </w:r>
      <w:r w:rsidR="00FC6283">
        <w:t>.</w:t>
      </w:r>
    </w:p>
    <w:p w14:paraId="03E887E5" w14:textId="1DC6CDF9" w:rsidR="007F4791" w:rsidRPr="00A25F2C" w:rsidRDefault="007F4791" w:rsidP="007F4791">
      <w:pPr>
        <w:pStyle w:val="Heading2"/>
      </w:pPr>
      <w:bookmarkStart w:id="24" w:name="_Toc147756872"/>
      <w:r w:rsidRPr="00A25F2C">
        <w:lastRenderedPageBreak/>
        <w:t>Customer and community outcomes</w:t>
      </w:r>
      <w:bookmarkEnd w:id="24"/>
    </w:p>
    <w:p w14:paraId="0AB1FE70" w14:textId="77777777" w:rsidR="007F4791" w:rsidRPr="00A25F2C" w:rsidRDefault="007F4791" w:rsidP="00AD44C6">
      <w:pPr>
        <w:pStyle w:val="Heading3"/>
      </w:pPr>
      <w:bookmarkStart w:id="25" w:name="_Toc147756873"/>
      <w:r w:rsidRPr="00A25F2C">
        <w:t>What we do now</w:t>
      </w:r>
      <w:bookmarkEnd w:id="25"/>
    </w:p>
    <w:p w14:paraId="697AC289" w14:textId="77777777" w:rsidR="007F4791" w:rsidRPr="00A25F2C" w:rsidRDefault="007F4791" w:rsidP="007F4791">
      <w:pPr>
        <w:pStyle w:val="BodyText"/>
      </w:pPr>
      <w:r w:rsidRPr="00A25F2C">
        <w:t xml:space="preserve">Melbourne Water is continuing to evolve the way we engage, collaborate, </w:t>
      </w:r>
      <w:proofErr w:type="gramStart"/>
      <w:r w:rsidRPr="00A25F2C">
        <w:t>listen</w:t>
      </w:r>
      <w:proofErr w:type="gramEnd"/>
      <w:r w:rsidRPr="00A25F2C">
        <w:t xml:space="preserve"> and work with our customers and community to ensure we understand and adapt to their needs.</w:t>
      </w:r>
    </w:p>
    <w:p w14:paraId="2585F649" w14:textId="77777777" w:rsidR="007F4791" w:rsidRPr="00A25F2C" w:rsidRDefault="007F4791" w:rsidP="007F4791">
      <w:pPr>
        <w:pStyle w:val="BodyText"/>
      </w:pPr>
      <w:r w:rsidRPr="00A25F2C">
        <w:t>We work closely with our retail water customers that partner with us to deliver water and collect sewage from individual households and businesses across the greater Melbourne region. Each year we deliver about 450 billion litres of water and receive almost 320 billion litres of sewage from Melburnians through retail water companies.</w:t>
      </w:r>
    </w:p>
    <w:p w14:paraId="1F46134E" w14:textId="77777777" w:rsidR="007F4791" w:rsidRPr="00A25F2C" w:rsidRDefault="007F4791" w:rsidP="007F4791">
      <w:pPr>
        <w:pStyle w:val="BodyText"/>
      </w:pPr>
      <w:r w:rsidRPr="00A25F2C">
        <w:t>We also partner with local councils that help us manage stormwater and build flood resiliency in our region. Our drainage system connects all 38 councils and reduces flood risk across 13,000 square kilometres in the Port Phillip and Westernport catchments.</w:t>
      </w:r>
    </w:p>
    <w:p w14:paraId="5E5F676F" w14:textId="77777777" w:rsidR="007F4791" w:rsidRPr="00A25F2C" w:rsidRDefault="007F4791" w:rsidP="007F4791">
      <w:pPr>
        <w:pStyle w:val="BodyText"/>
      </w:pPr>
      <w:r w:rsidRPr="00A25F2C">
        <w:t xml:space="preserve">Developers work with us to build stormwater, </w:t>
      </w:r>
      <w:proofErr w:type="gramStart"/>
      <w:r w:rsidRPr="00A25F2C">
        <w:t>flood</w:t>
      </w:r>
      <w:proofErr w:type="gramEnd"/>
      <w:r w:rsidRPr="00A25F2C">
        <w:t xml:space="preserve"> and waterway infrastructure in the growing urban landscape, helping us to expand water and sewerage services to new suburbs. This work supports the delivery of around 20,000 new homes each year in growth areas.</w:t>
      </w:r>
    </w:p>
    <w:p w14:paraId="0D0FEDD6" w14:textId="77777777" w:rsidR="007F4791" w:rsidRPr="00A25F2C" w:rsidRDefault="007F4791" w:rsidP="007F4791">
      <w:pPr>
        <w:pStyle w:val="BodyText"/>
      </w:pPr>
      <w:r w:rsidRPr="00A25F2C">
        <w:t xml:space="preserve">Community groups, councils and government agencies share our vision to enhance and manage environmental assets, including over 24,000 kilometres of wetlands, </w:t>
      </w:r>
      <w:proofErr w:type="gramStart"/>
      <w:r w:rsidRPr="00A25F2C">
        <w:t>rivers</w:t>
      </w:r>
      <w:proofErr w:type="gramEnd"/>
      <w:r w:rsidRPr="00A25F2C">
        <w:t xml:space="preserve"> and creeks.</w:t>
      </w:r>
    </w:p>
    <w:p w14:paraId="3723DC6C" w14:textId="77777777" w:rsidR="007F4791" w:rsidRPr="00A25F2C" w:rsidRDefault="007F4791" w:rsidP="007F4791">
      <w:pPr>
        <w:pStyle w:val="BodyText"/>
      </w:pPr>
      <w:r w:rsidRPr="00A25F2C">
        <w:t xml:space="preserve">Our price determination sets the foundation for a renewed customer-centric focus at Melbourne Water. Introduced as part of our </w:t>
      </w:r>
      <w:r w:rsidRPr="00A25F2C">
        <w:rPr>
          <w:i/>
        </w:rPr>
        <w:t>2021 Price Submission</w:t>
      </w:r>
      <w:r w:rsidRPr="00A25F2C">
        <w:t>, the six customer outcomes defined in collaboration with our customers and community are:</w:t>
      </w:r>
    </w:p>
    <w:p w14:paraId="75CBDF1E" w14:textId="77777777" w:rsidR="007F4791" w:rsidRPr="00A25F2C" w:rsidRDefault="007F4791" w:rsidP="00F13D2F">
      <w:pPr>
        <w:pStyle w:val="ListNumber"/>
        <w:numPr>
          <w:ilvl w:val="0"/>
          <w:numId w:val="14"/>
        </w:numPr>
        <w:contextualSpacing/>
      </w:pPr>
      <w:r w:rsidRPr="00A25F2C">
        <w:t>Access to safe and reliable water and sewerage services.</w:t>
      </w:r>
    </w:p>
    <w:p w14:paraId="293B7178" w14:textId="77777777" w:rsidR="007F4791" w:rsidRPr="00A25F2C" w:rsidRDefault="007F4791" w:rsidP="007F4791">
      <w:pPr>
        <w:pStyle w:val="ListNumber"/>
        <w:contextualSpacing/>
      </w:pPr>
      <w:r w:rsidRPr="00A25F2C">
        <w:t xml:space="preserve">Melbourne’s environment, rivers, </w:t>
      </w:r>
      <w:proofErr w:type="gramStart"/>
      <w:r w:rsidRPr="00A25F2C">
        <w:t>creeks</w:t>
      </w:r>
      <w:proofErr w:type="gramEnd"/>
      <w:r w:rsidRPr="00A25F2C">
        <w:t xml:space="preserve"> and bays are protected, and Melbourne Water’s greenhouse gas emissions are minimised.</w:t>
      </w:r>
    </w:p>
    <w:p w14:paraId="687CCDE6" w14:textId="77777777" w:rsidR="007F4791" w:rsidRPr="00A25F2C" w:rsidRDefault="007F4791" w:rsidP="007F4791">
      <w:pPr>
        <w:pStyle w:val="ListNumber"/>
        <w:contextualSpacing/>
      </w:pPr>
      <w:r w:rsidRPr="00A25F2C">
        <w:t>Melbourne remains liveable as it deals with the impacts of climate change and population growth.</w:t>
      </w:r>
    </w:p>
    <w:p w14:paraId="16F3F16F" w14:textId="77777777" w:rsidR="007F4791" w:rsidRPr="00A25F2C" w:rsidRDefault="007F4791" w:rsidP="007F4791">
      <w:pPr>
        <w:pStyle w:val="ListNumber"/>
        <w:contextualSpacing/>
      </w:pPr>
      <w:r w:rsidRPr="00A25F2C">
        <w:t>Melburnians are empowered to support the design and delivery of service outcomes.</w:t>
      </w:r>
    </w:p>
    <w:p w14:paraId="2781F2FC" w14:textId="77777777" w:rsidR="007F4791" w:rsidRPr="00A25F2C" w:rsidRDefault="007F4791" w:rsidP="007F4791">
      <w:pPr>
        <w:pStyle w:val="ListNumber"/>
        <w:contextualSpacing/>
      </w:pPr>
      <w:r w:rsidRPr="00A25F2C">
        <w:t xml:space="preserve">Easy, respectful, </w:t>
      </w:r>
      <w:proofErr w:type="gramStart"/>
      <w:r w:rsidRPr="00A25F2C">
        <w:t>responsive</w:t>
      </w:r>
      <w:proofErr w:type="gramEnd"/>
      <w:r w:rsidRPr="00A25F2C">
        <w:t xml:space="preserve"> and transparent customer service.</w:t>
      </w:r>
    </w:p>
    <w:p w14:paraId="3F538836" w14:textId="77777777" w:rsidR="007F4791" w:rsidRPr="00A25F2C" w:rsidRDefault="007F4791" w:rsidP="007F4791">
      <w:pPr>
        <w:pStyle w:val="ListNumber"/>
        <w:contextualSpacing/>
      </w:pPr>
      <w:r w:rsidRPr="00A25F2C">
        <w:t>Bills are kept as low as possible.</w:t>
      </w:r>
    </w:p>
    <w:p w14:paraId="029D5138" w14:textId="41F9D8D6" w:rsidR="007F4791" w:rsidRPr="00A25F2C" w:rsidRDefault="007F4791" w:rsidP="007F4791">
      <w:pPr>
        <w:pStyle w:val="BodyText"/>
      </w:pPr>
      <w:r w:rsidRPr="00A25F2C">
        <w:t xml:space="preserve">As a </w:t>
      </w:r>
      <w:r w:rsidR="00322518">
        <w:t>Catchment Management Authority</w:t>
      </w:r>
      <w:r w:rsidRPr="00A25F2C">
        <w:t xml:space="preserve">, Melbourne Water also supports collaboration with local communities to conserve the region’s land, </w:t>
      </w:r>
      <w:proofErr w:type="gramStart"/>
      <w:r w:rsidRPr="00A25F2C">
        <w:t>water</w:t>
      </w:r>
      <w:proofErr w:type="gramEnd"/>
      <w:r w:rsidRPr="00A25F2C">
        <w:t xml:space="preserve"> and biodiversity through coordinating the actions from the </w:t>
      </w:r>
      <w:r w:rsidRPr="00A25F2C">
        <w:rPr>
          <w:i/>
        </w:rPr>
        <w:t xml:space="preserve">Regional Catchment Strategy </w:t>
      </w:r>
      <w:r w:rsidRPr="00A25F2C">
        <w:t>together with partnering organisations and groups.</w:t>
      </w:r>
    </w:p>
    <w:p w14:paraId="68417D66" w14:textId="749B05C5" w:rsidR="007F4791" w:rsidRPr="00A25F2C" w:rsidRDefault="007F4791" w:rsidP="007F4791">
      <w:pPr>
        <w:pStyle w:val="BodyText"/>
      </w:pPr>
      <w:r w:rsidRPr="00A25F2C">
        <w:t xml:space="preserve">In addition, Guaranteed Service Levels (GSLs) further help us define and measure our service performance to our Melbourne retailer customers. These service levels share common principles and are aligned with the retailers’ end-customer outcomes and service levels. Melbourne Water has worked collaboratively with our Customer Delivery Partners to </w:t>
      </w:r>
      <w:r w:rsidR="00D83413" w:rsidRPr="00A25F2C">
        <w:t xml:space="preserve">develop </w:t>
      </w:r>
      <w:r w:rsidR="00D83413">
        <w:t>Guaranteed</w:t>
      </w:r>
      <w:r w:rsidR="001D7561">
        <w:t xml:space="preserve"> Service Levels</w:t>
      </w:r>
      <w:r w:rsidRPr="00A25F2C">
        <w:t xml:space="preserve"> for wholesale water and sewerage.</w:t>
      </w:r>
    </w:p>
    <w:p w14:paraId="3374AAC5" w14:textId="08AA42B5" w:rsidR="007F4791" w:rsidRPr="00A25F2C" w:rsidRDefault="007F4791" w:rsidP="007F4791">
      <w:pPr>
        <w:pStyle w:val="BodyText"/>
      </w:pPr>
      <w:r w:rsidRPr="00A25F2C">
        <w:t xml:space="preserve">We have also embedded requirements for achieving customer satisfaction. Each year, along with reporting on operational performance </w:t>
      </w:r>
      <w:r w:rsidR="00D83413" w:rsidRPr="00A25F2C">
        <w:t xml:space="preserve">and </w:t>
      </w:r>
      <w:r w:rsidR="00D83413">
        <w:t>Guaranteed</w:t>
      </w:r>
      <w:r w:rsidR="001D7561">
        <w:t xml:space="preserve"> Service Levels</w:t>
      </w:r>
      <w:r w:rsidRPr="00A25F2C">
        <w:t>, Melbourne Water now reports on customer satisfaction with our services. We have matured our approach to measuring and tracking customer satisfaction to ensure we understand our customers and can adapt to meet changing expectations.</w:t>
      </w:r>
    </w:p>
    <w:p w14:paraId="1D3E57ED" w14:textId="0C40131A" w:rsidR="007F4791" w:rsidRPr="00A25F2C" w:rsidRDefault="007F4791" w:rsidP="007F4791">
      <w:pPr>
        <w:pStyle w:val="BodyText"/>
      </w:pPr>
      <w:r w:rsidRPr="00A25F2C">
        <w:t xml:space="preserve">We value the relationship we have with our partners and customers as we continue evolving our organisation in a manner that is truly customer-centric, </w:t>
      </w:r>
      <w:proofErr w:type="gramStart"/>
      <w:r w:rsidRPr="00A25F2C">
        <w:t>respectful</w:t>
      </w:r>
      <w:proofErr w:type="gramEnd"/>
      <w:r w:rsidRPr="00A25F2C">
        <w:t xml:space="preserve"> and transparent.</w:t>
      </w:r>
      <w:r w:rsidR="00AD44C6">
        <w:t xml:space="preserve"> </w:t>
      </w:r>
      <w:r w:rsidRPr="00A25F2C">
        <w:t xml:space="preserve">This year, we will be engaging more deeply with our diverse customer groups, to maintain an ongoing conversation about priorities, </w:t>
      </w:r>
      <w:proofErr w:type="gramStart"/>
      <w:r w:rsidRPr="00A25F2C">
        <w:t>performance</w:t>
      </w:r>
      <w:proofErr w:type="gramEnd"/>
      <w:r w:rsidRPr="00A25F2C">
        <w:t xml:space="preserve"> and key considerations for our next Price Submission.</w:t>
      </w:r>
    </w:p>
    <w:p w14:paraId="7BBFEF0B" w14:textId="77777777" w:rsidR="007F4791" w:rsidRPr="00A25F2C" w:rsidRDefault="007F4791" w:rsidP="007F4791">
      <w:pPr>
        <w:pStyle w:val="BodyText"/>
      </w:pPr>
      <w:r w:rsidRPr="00A25F2C">
        <w:lastRenderedPageBreak/>
        <w:t>We are also enhancing our customer research programs to better understand what our customers need and how they feel when they interact with us. Our customer satisfaction data and insights are being used to drive improvements in service and experience design.</w:t>
      </w:r>
    </w:p>
    <w:p w14:paraId="0D4271EF" w14:textId="77777777" w:rsidR="007F4791" w:rsidRPr="00A25F2C" w:rsidRDefault="007F4791" w:rsidP="007F4791">
      <w:pPr>
        <w:pStyle w:val="BodyText"/>
      </w:pPr>
      <w:r w:rsidRPr="00A25F2C">
        <w:t>Our digital service and technology pipeline includes a focus on improved sharing and broader use of Melbourne Water data and geospatial information, as well as improvements in transactions to better support digital customer interactions.</w:t>
      </w:r>
    </w:p>
    <w:p w14:paraId="7C34FDCF" w14:textId="77777777" w:rsidR="00143D6B" w:rsidRDefault="007F4791" w:rsidP="007F4791">
      <w:pPr>
        <w:pStyle w:val="BodyText"/>
      </w:pPr>
      <w:r w:rsidRPr="00A25F2C">
        <w:t>The services we deliver are interconnected and often bound by statutory obligations, which must be balanced with customer needs and expectations. Future improvements to our customer services will help customers to clearly understand our service obligations and navigate their way more easily through our processes. They will also help us to deliver our services more efficiently to achieve the best possible outcomes for customers and the community.</w:t>
      </w:r>
    </w:p>
    <w:p w14:paraId="6CD4E1B5" w14:textId="701BF939" w:rsidR="007F4791" w:rsidRPr="00A25F2C" w:rsidRDefault="007F4791" w:rsidP="00AD44C6">
      <w:pPr>
        <w:pStyle w:val="Heading4"/>
      </w:pPr>
      <w:r w:rsidRPr="00A25F2C">
        <w:t>Community engagement</w:t>
      </w:r>
    </w:p>
    <w:p w14:paraId="3DE3CC06" w14:textId="77777777" w:rsidR="007F4791" w:rsidRPr="00A25F2C" w:rsidRDefault="007F4791" w:rsidP="007F4791">
      <w:pPr>
        <w:pStyle w:val="BodyText"/>
      </w:pPr>
      <w:r w:rsidRPr="00A25F2C">
        <w:t>Melbourne Water’s six engagement principles are: ‘Transparent’, ‘Timely’, ‘Meaningful’, ‘Considered’, ‘Inclusive’ and ‘Reflective’.</w:t>
      </w:r>
    </w:p>
    <w:p w14:paraId="6716D1FA" w14:textId="77777777" w:rsidR="007F4791" w:rsidRPr="00A25F2C" w:rsidRDefault="007F4791" w:rsidP="007F4791">
      <w:pPr>
        <w:pStyle w:val="BodyText"/>
      </w:pPr>
      <w:r w:rsidRPr="00A25F2C">
        <w:t>Driven by these principles, Melbourne Water is continuing to expand our reach and involve more people in the strategic decisions we make through integrated digital and face-to- face engagement. This approach is led by insights into our customers’ preferences for engagement and information sharing, which creates meaningful opportunities for greater diversity and inclusivity in our engagement practices.</w:t>
      </w:r>
    </w:p>
    <w:p w14:paraId="71824ED1" w14:textId="77777777" w:rsidR="007F4791" w:rsidRPr="00A25F2C" w:rsidRDefault="007F4791" w:rsidP="007F4791">
      <w:pPr>
        <w:pStyle w:val="BodyText"/>
      </w:pPr>
      <w:r w:rsidRPr="00A25F2C">
        <w:t>Tailored and multi-staged engagement programs are being rolled out in support of several significant, strategic activities, including:</w:t>
      </w:r>
    </w:p>
    <w:p w14:paraId="0FB0749B" w14:textId="1D5D2060" w:rsidR="007F4791" w:rsidRPr="00A25F2C" w:rsidRDefault="007F4791" w:rsidP="009C6BBD">
      <w:pPr>
        <w:pStyle w:val="ListBullet"/>
      </w:pPr>
      <w:r w:rsidRPr="00A25F2C">
        <w:t xml:space="preserve">public consultation on the </w:t>
      </w:r>
      <w:r w:rsidRPr="00AD44C6">
        <w:rPr>
          <w:i/>
        </w:rPr>
        <w:t>Maribyrnong River Flood Review</w:t>
      </w:r>
      <w:r w:rsidR="00AD44C6" w:rsidRPr="00AD44C6">
        <w:rPr>
          <w:i/>
        </w:rPr>
        <w:t xml:space="preserve"> </w:t>
      </w:r>
      <w:r w:rsidRPr="00A25F2C">
        <w:t>submission process</w:t>
      </w:r>
    </w:p>
    <w:p w14:paraId="7F761634" w14:textId="77777777" w:rsidR="007F4791" w:rsidRPr="00A25F2C" w:rsidRDefault="007F4791" w:rsidP="00F13D2F">
      <w:pPr>
        <w:pStyle w:val="ListBullet"/>
        <w:numPr>
          <w:ilvl w:val="0"/>
          <w:numId w:val="13"/>
        </w:numPr>
      </w:pPr>
      <w:r w:rsidRPr="00A25F2C">
        <w:t xml:space="preserve">implementation actions in support of our </w:t>
      </w:r>
      <w:r w:rsidRPr="007F4791">
        <w:rPr>
          <w:i/>
        </w:rPr>
        <w:t xml:space="preserve">Flood Management Strategy </w:t>
      </w:r>
      <w:r w:rsidRPr="00A25F2C">
        <w:t>to build community resilience and awareness of flood risks and take proactive action to be ready for flood events</w:t>
      </w:r>
    </w:p>
    <w:p w14:paraId="703EB60F" w14:textId="77777777" w:rsidR="007F4791" w:rsidRPr="00A25F2C" w:rsidRDefault="007F4791" w:rsidP="007F4791">
      <w:pPr>
        <w:pStyle w:val="ListBullet"/>
      </w:pPr>
      <w:r w:rsidRPr="00A25F2C">
        <w:t>delivery of a range of strategic engagement and educational activities to raise awareness of our Western Treatment Plant</w:t>
      </w:r>
    </w:p>
    <w:p w14:paraId="30DB5051" w14:textId="77777777" w:rsidR="007F4791" w:rsidRPr="00A25F2C" w:rsidRDefault="007F4791" w:rsidP="007F4791">
      <w:pPr>
        <w:pStyle w:val="ListBullet"/>
      </w:pPr>
      <w:r w:rsidRPr="00A25F2C">
        <w:t>exploration of recreation opportunities at the Yan Yean and Tarago reservoirs</w:t>
      </w:r>
    </w:p>
    <w:p w14:paraId="68A4F86F" w14:textId="77777777" w:rsidR="007F4791" w:rsidRPr="00A25F2C" w:rsidRDefault="007F4791" w:rsidP="007F4791">
      <w:pPr>
        <w:pStyle w:val="ListBullet"/>
      </w:pPr>
      <w:r w:rsidRPr="00A25F2C">
        <w:t>strategic communications and engagement planning for PS26</w:t>
      </w:r>
    </w:p>
    <w:p w14:paraId="1BDB9F55" w14:textId="77777777" w:rsidR="007F4791" w:rsidRPr="00A25F2C" w:rsidRDefault="007F4791" w:rsidP="007F4791">
      <w:pPr>
        <w:pStyle w:val="ListBullet"/>
      </w:pPr>
      <w:r w:rsidRPr="00A25F2C">
        <w:t>development of a Diversity and Inclusion Engagement Guide to build capability for our people</w:t>
      </w:r>
    </w:p>
    <w:p w14:paraId="537C2DA9" w14:textId="77777777" w:rsidR="007F4791" w:rsidRPr="00A25F2C" w:rsidRDefault="007F4791" w:rsidP="007F4791">
      <w:pPr>
        <w:pStyle w:val="ListBullet"/>
      </w:pPr>
      <w:r w:rsidRPr="00A25F2C">
        <w:t>a community research program to understand engagement and communications preferences as part of our Digital Education and Engagement Roadmap</w:t>
      </w:r>
    </w:p>
    <w:p w14:paraId="5DF0858F" w14:textId="77777777" w:rsidR="007F4791" w:rsidRPr="00A25F2C" w:rsidRDefault="007F4791" w:rsidP="007F4791">
      <w:pPr>
        <w:pStyle w:val="ListBullet"/>
      </w:pPr>
      <w:r w:rsidRPr="00A25F2C">
        <w:t>the rollout of an extensive infrastructure delivery program and community group projects, with targeted engagement with local communities.</w:t>
      </w:r>
    </w:p>
    <w:p w14:paraId="6F409EA1" w14:textId="77777777" w:rsidR="007F4791" w:rsidRPr="00A25F2C" w:rsidRDefault="007F4791" w:rsidP="007F4791">
      <w:pPr>
        <w:pStyle w:val="BodyText"/>
      </w:pPr>
      <w:r w:rsidRPr="00A25F2C">
        <w:t>Trust and transparency are essential to the success of the work we do. We first apply an evidence-based understanding of our target audiences, informed by our customer insights research program. We then apply the IAP2 (International Association for Public Participation) levels of engagement to tailor the right types of engagement at the right times to reach a broad and diverse audience.</w:t>
      </w:r>
    </w:p>
    <w:p w14:paraId="1D1284F8" w14:textId="77777777" w:rsidR="007F4791" w:rsidRPr="00A25F2C" w:rsidRDefault="007F4791" w:rsidP="007F4791">
      <w:pPr>
        <w:pStyle w:val="BodyText"/>
      </w:pPr>
      <w:r w:rsidRPr="00A25F2C">
        <w:t xml:space="preserve">Our tailored engagement and communication strategies employ a range of methods, from community bulletins, focus groups, </w:t>
      </w:r>
      <w:proofErr w:type="gramStart"/>
      <w:r w:rsidRPr="00A25F2C">
        <w:t>doorknocks</w:t>
      </w:r>
      <w:proofErr w:type="gramEnd"/>
      <w:r w:rsidRPr="00A25F2C">
        <w:t xml:space="preserve"> and pop-up events to innovative and online approaches, such as deliberative panels, co-design, digital platforms and social media.</w:t>
      </w:r>
    </w:p>
    <w:p w14:paraId="618C775C" w14:textId="5B8A471E" w:rsidR="007F4791" w:rsidRPr="00A25F2C" w:rsidRDefault="007F4791" w:rsidP="007F4791">
      <w:pPr>
        <w:pStyle w:val="BodyText"/>
      </w:pPr>
      <w:r w:rsidRPr="00A25F2C">
        <w:t>We will continue to expand our digital engagement tools, such as our Western Treatment Plant virtual reality education</w:t>
      </w:r>
      <w:r w:rsidR="00AD44C6">
        <w:t xml:space="preserve"> </w:t>
      </w:r>
      <w:r w:rsidRPr="00A25F2C">
        <w:t>experience, expanded use of QR (quick response) codes and the evolution of our YourSay engagement platform to maximise two-way engagement and language translation features.</w:t>
      </w:r>
    </w:p>
    <w:p w14:paraId="64CBF064" w14:textId="7D0FCF80" w:rsidR="007F4791" w:rsidRPr="00A25F2C" w:rsidRDefault="007F4791" w:rsidP="00AD44C6">
      <w:pPr>
        <w:pStyle w:val="Heading3"/>
      </w:pPr>
      <w:bookmarkStart w:id="26" w:name="_Toc147756874"/>
      <w:r w:rsidRPr="00A25F2C">
        <w:lastRenderedPageBreak/>
        <w:t>Our long-term plan</w:t>
      </w:r>
      <w:bookmarkEnd w:id="26"/>
    </w:p>
    <w:p w14:paraId="7ED222B6" w14:textId="77777777" w:rsidR="007F4791" w:rsidRPr="00A25F2C" w:rsidRDefault="007F4791" w:rsidP="007F4791">
      <w:pPr>
        <w:pStyle w:val="BodyText"/>
      </w:pPr>
      <w:r w:rsidRPr="00A25F2C">
        <w:t xml:space="preserve">Melbourne Water will embed changes to our approach to ensure we are genuinely co-developing and </w:t>
      </w:r>
      <w:proofErr w:type="gramStart"/>
      <w:r w:rsidRPr="00A25F2C">
        <w:t>planning for the future</w:t>
      </w:r>
      <w:proofErr w:type="gramEnd"/>
      <w:r w:rsidRPr="00A25F2C">
        <w:t xml:space="preserve"> with our delivery partners to meet future needs.</w:t>
      </w:r>
    </w:p>
    <w:p w14:paraId="5E8AA005" w14:textId="77777777" w:rsidR="007F4791" w:rsidRPr="00A25F2C" w:rsidRDefault="007F4791" w:rsidP="007F4791">
      <w:pPr>
        <w:pStyle w:val="BodyText"/>
      </w:pPr>
      <w:r w:rsidRPr="00A25F2C">
        <w:t>We will continue to deliver on the goals and aspirations set out in our strategies, plans and commitments for our customers and the community.</w:t>
      </w:r>
    </w:p>
    <w:p w14:paraId="0729BC0F" w14:textId="77777777" w:rsidR="007F4791" w:rsidRPr="00A25F2C" w:rsidRDefault="007F4791" w:rsidP="007F4791">
      <w:pPr>
        <w:pStyle w:val="BodyText"/>
      </w:pPr>
      <w:r w:rsidRPr="00A25F2C">
        <w:t>We will refine our customer research and measurement to ensure we are gathering the right customer insights from the right customers at the right time to deliver business improvements.</w:t>
      </w:r>
    </w:p>
    <w:p w14:paraId="67202F90" w14:textId="77777777" w:rsidR="007F4791" w:rsidRPr="00A25F2C" w:rsidRDefault="007F4791" w:rsidP="007F4791">
      <w:pPr>
        <w:pStyle w:val="BodyText"/>
      </w:pPr>
      <w:r w:rsidRPr="00A25F2C">
        <w:t>Our efforts on customer service interactions will be refocused to ensure we are living up to changing customer expectations, with a focus on consistently delivering improved customer experiences.</w:t>
      </w:r>
    </w:p>
    <w:p w14:paraId="58CD9648" w14:textId="77777777" w:rsidR="007F4791" w:rsidRPr="00A25F2C" w:rsidRDefault="007F4791" w:rsidP="007F4791">
      <w:pPr>
        <w:pStyle w:val="BodyText"/>
      </w:pPr>
      <w:r w:rsidRPr="00A25F2C">
        <w:t xml:space="preserve">Drainage services are provided to local government, </w:t>
      </w:r>
      <w:proofErr w:type="gramStart"/>
      <w:r w:rsidRPr="00A25F2C">
        <w:t>developers</w:t>
      </w:r>
      <w:proofErr w:type="gramEnd"/>
      <w:r w:rsidRPr="00A25F2C">
        <w:t xml:space="preserve"> and members of our community. To improve satisfaction in this area, we have increased resourcing in Development Services and realigned service offerings to manage demand driven by unprecedented development. We have also implemented dedicated performance indicators in this area to measure our impact more regularly.</w:t>
      </w:r>
    </w:p>
    <w:p w14:paraId="620B225E" w14:textId="77777777" w:rsidR="007F4791" w:rsidRPr="00A25F2C" w:rsidRDefault="007F4791" w:rsidP="00AD44C6">
      <w:pPr>
        <w:pStyle w:val="Heading4"/>
      </w:pPr>
      <w:r w:rsidRPr="00A25F2C">
        <w:t>Building strong relationships and partnerships</w:t>
      </w:r>
    </w:p>
    <w:p w14:paraId="603264A9" w14:textId="77777777" w:rsidR="007F4791" w:rsidRPr="00A25F2C" w:rsidRDefault="007F4791" w:rsidP="007F4791">
      <w:pPr>
        <w:pStyle w:val="BodyText"/>
      </w:pPr>
      <w:r w:rsidRPr="00A25F2C">
        <w:t>Strong relationships with our customers, and positive customer perceptions of Melbourne Water, are essential to enable us to deliver our services.</w:t>
      </w:r>
    </w:p>
    <w:p w14:paraId="084C928C" w14:textId="77777777" w:rsidR="007F4791" w:rsidRPr="00A25F2C" w:rsidRDefault="007F4791" w:rsidP="007F4791">
      <w:pPr>
        <w:pStyle w:val="BodyText"/>
      </w:pPr>
      <w:r w:rsidRPr="00A25F2C">
        <w:t>To better understand the needs of our customers and inform our customer strategies and plans, we use a broad and evolving range of tools, including targeted research projects, internal data analysis and direct feedback.</w:t>
      </w:r>
    </w:p>
    <w:p w14:paraId="55BC6BF3" w14:textId="77777777" w:rsidR="00143D6B" w:rsidRDefault="007F4791" w:rsidP="007F4791">
      <w:pPr>
        <w:pStyle w:val="BodyText"/>
      </w:pPr>
      <w:r w:rsidRPr="00A25F2C">
        <w:t xml:space="preserve">Central to this is our </w:t>
      </w:r>
      <w:r w:rsidRPr="00A25F2C">
        <w:rPr>
          <w:i/>
        </w:rPr>
        <w:t xml:space="preserve">Reputation Study </w:t>
      </w:r>
      <w:r w:rsidRPr="00A25F2C">
        <w:t xml:space="preserve">that tracks customer and community perceptions of Melbourne Water and includes metrics relating to trust, esteem, </w:t>
      </w:r>
      <w:proofErr w:type="gramStart"/>
      <w:r w:rsidRPr="00A25F2C">
        <w:t>admiration</w:t>
      </w:r>
      <w:proofErr w:type="gramEnd"/>
      <w:r w:rsidRPr="00A25F2C">
        <w:t xml:space="preserve"> and respect.</w:t>
      </w:r>
    </w:p>
    <w:p w14:paraId="2228E8D0" w14:textId="4E2D0253" w:rsidR="007F4791" w:rsidRPr="00A25F2C" w:rsidRDefault="007F4791" w:rsidP="007F4791">
      <w:pPr>
        <w:pStyle w:val="BodyText"/>
      </w:pPr>
      <w:r w:rsidRPr="00A25F2C">
        <w:t>Additionally, a customer service framework aligned to core services has been implemented to give the business more targeted actions for improvement. As part of our</w:t>
      </w:r>
      <w:r w:rsidR="00AD44C6">
        <w:t xml:space="preserve"> </w:t>
      </w:r>
      <w:r w:rsidRPr="00A25F2C">
        <w:t xml:space="preserve">Performance, Risk, Engagement, Management and Outcomes (PREMO) Framework reporting obligations to the Essential Services Commission and </w:t>
      </w:r>
      <w:r w:rsidRPr="00A25F2C">
        <w:rPr>
          <w:i/>
        </w:rPr>
        <w:t>2021 Price Submission</w:t>
      </w:r>
      <w:r w:rsidRPr="00A25F2C">
        <w:t>, our customer satisfaction scores need to demonstrate consistent</w:t>
      </w:r>
      <w:r w:rsidR="00AD44C6">
        <w:t xml:space="preserve"> </w:t>
      </w:r>
      <w:r w:rsidRPr="00A25F2C">
        <w:t>improvement from our current position over the next five years.</w:t>
      </w:r>
    </w:p>
    <w:p w14:paraId="1C89A4C5" w14:textId="44EA30F6" w:rsidR="007F4791" w:rsidRPr="00A25F2C" w:rsidRDefault="007F4791" w:rsidP="007F4791">
      <w:pPr>
        <w:pStyle w:val="BodyText"/>
      </w:pPr>
      <w:r w:rsidRPr="00A25F2C">
        <w:t>To meet the challenges of water security, climate change and the long-term impacts of COVID-19, we must work in</w:t>
      </w:r>
      <w:r w:rsidR="00AD44C6">
        <w:t xml:space="preserve"> </w:t>
      </w:r>
      <w:r w:rsidRPr="00A25F2C">
        <w:t xml:space="preserve">partnership with our customers and stakeholders. This requires us to build robust, </w:t>
      </w:r>
      <w:proofErr w:type="gramStart"/>
      <w:r w:rsidRPr="00A25F2C">
        <w:t>ongoing</w:t>
      </w:r>
      <w:proofErr w:type="gramEnd"/>
      <w:r w:rsidRPr="00A25F2C">
        <w:t xml:space="preserve"> and trusting relationships with our customers, stakeholders and partners. The development of The Accord is a defining first step to ensure stronger collaboration with the Melbourne and regional water sector.</w:t>
      </w:r>
    </w:p>
    <w:p w14:paraId="6782DDD3" w14:textId="77777777" w:rsidR="007F4791" w:rsidRPr="00A25F2C" w:rsidRDefault="007F4791" w:rsidP="007F4791">
      <w:pPr>
        <w:pStyle w:val="BodyText"/>
      </w:pPr>
      <w:r w:rsidRPr="00A25F2C">
        <w:t xml:space="preserve">Melbourne Water has established priorities for relationship management and has a strong focus on our relationships with Melbourne’s retail water companies, local councils, </w:t>
      </w:r>
      <w:proofErr w:type="gramStart"/>
      <w:r w:rsidRPr="00A25F2C">
        <w:t>government</w:t>
      </w:r>
      <w:proofErr w:type="gramEnd"/>
      <w:r w:rsidRPr="00A25F2C">
        <w:t xml:space="preserve"> and the development sectors.</w:t>
      </w:r>
    </w:p>
    <w:p w14:paraId="5CBA5105" w14:textId="476E40C7" w:rsidR="007F4791" w:rsidRPr="00A25F2C" w:rsidRDefault="007F4791" w:rsidP="007F4791">
      <w:pPr>
        <w:pStyle w:val="BodyText"/>
      </w:pPr>
      <w:r w:rsidRPr="00A25F2C">
        <w:t>Key focus areas, such as increasing transparency, opportunities for early engagement, and collaboration and co-design</w:t>
      </w:r>
      <w:r w:rsidR="00AD44C6">
        <w:t xml:space="preserve"> </w:t>
      </w:r>
      <w:r w:rsidRPr="00A25F2C">
        <w:t>of strategies, will help us deliver better outcomes for the communities we serve.</w:t>
      </w:r>
    </w:p>
    <w:p w14:paraId="72C3023B" w14:textId="629857CF" w:rsidR="007F4791" w:rsidRPr="00A25F2C" w:rsidRDefault="007F4791" w:rsidP="00AD44C6">
      <w:pPr>
        <w:pStyle w:val="Heading3"/>
      </w:pPr>
      <w:bookmarkStart w:id="27" w:name="_Toc147756875"/>
      <w:r w:rsidRPr="00A25F2C">
        <w:t>The year ahead</w:t>
      </w:r>
      <w:bookmarkEnd w:id="27"/>
    </w:p>
    <w:p w14:paraId="3E399455" w14:textId="77777777" w:rsidR="007F4791" w:rsidRPr="00A25F2C" w:rsidRDefault="007F4791" w:rsidP="007F4791">
      <w:pPr>
        <w:pStyle w:val="BodyText"/>
      </w:pPr>
      <w:r w:rsidRPr="00A25F2C">
        <w:t xml:space="preserve">Melbourne Water will embed changes to our approach to ensure we are genuinely co-developing and </w:t>
      </w:r>
      <w:proofErr w:type="gramStart"/>
      <w:r w:rsidRPr="00A25F2C">
        <w:t>planning for the future</w:t>
      </w:r>
      <w:proofErr w:type="gramEnd"/>
      <w:r w:rsidRPr="00A25F2C">
        <w:t xml:space="preserve"> with our delivery partners to meet future needs.</w:t>
      </w:r>
    </w:p>
    <w:p w14:paraId="41FC674E" w14:textId="77777777" w:rsidR="007F4791" w:rsidRPr="00A25F2C" w:rsidRDefault="007F4791" w:rsidP="007F4791">
      <w:pPr>
        <w:pStyle w:val="BodyText"/>
      </w:pPr>
      <w:r w:rsidRPr="00A25F2C">
        <w:t>We will continue to deliver on the goals and aspirations set out in our strategies, plans and commitments for our customers and the community.</w:t>
      </w:r>
    </w:p>
    <w:p w14:paraId="0B1400CB" w14:textId="77777777" w:rsidR="007F4791" w:rsidRPr="00A25F2C" w:rsidRDefault="007F4791" w:rsidP="007F4791">
      <w:pPr>
        <w:pStyle w:val="BodyText"/>
      </w:pPr>
      <w:r w:rsidRPr="00A25F2C">
        <w:lastRenderedPageBreak/>
        <w:t>We will refine our customer research and measurement to ensure we are gathering the right customer insights from the right customers at the right time to deliver business improvements.</w:t>
      </w:r>
    </w:p>
    <w:p w14:paraId="196F1CFA" w14:textId="77777777" w:rsidR="007F4791" w:rsidRPr="00A25F2C" w:rsidRDefault="007F4791" w:rsidP="007F4791">
      <w:pPr>
        <w:pStyle w:val="BodyText"/>
      </w:pPr>
      <w:r w:rsidRPr="00A25F2C">
        <w:t>Our efforts on customer service interactions will be refocused to ensure we are living up to changing customer expectations, with a focus on consistently delivering improved customer experiences.</w:t>
      </w:r>
    </w:p>
    <w:p w14:paraId="5467BCE8" w14:textId="6F01F50B" w:rsidR="007F4791" w:rsidRPr="00A25F2C" w:rsidRDefault="007F4791" w:rsidP="007F4791">
      <w:pPr>
        <w:pStyle w:val="BodyText"/>
      </w:pPr>
      <w:r w:rsidRPr="00A25F2C">
        <w:t xml:space="preserve">Drainage services are provided to local government, </w:t>
      </w:r>
      <w:proofErr w:type="gramStart"/>
      <w:r w:rsidRPr="00A25F2C">
        <w:t>developers</w:t>
      </w:r>
      <w:proofErr w:type="gramEnd"/>
      <w:r w:rsidRPr="00A25F2C">
        <w:t xml:space="preserve"> and members of our community. To improve satisfaction,</w:t>
      </w:r>
      <w:r w:rsidR="00AD44C6">
        <w:t xml:space="preserve"> </w:t>
      </w:r>
      <w:r w:rsidRPr="00A25F2C">
        <w:t>we have increased resourcing in Development Services and realigned service offerings to manage demand driven by unprecedented development. Our dedicated performance indicators allow us to measure our impact in this area more often.</w:t>
      </w:r>
    </w:p>
    <w:p w14:paraId="7E0EDF4A" w14:textId="3E0F2CEF" w:rsidR="00143D6B" w:rsidRDefault="007F4791" w:rsidP="007F4791">
      <w:pPr>
        <w:pStyle w:val="BodyText"/>
      </w:pPr>
      <w:r w:rsidRPr="00A25F2C">
        <w:t>We will continue to provide flood, drainage and environmental urban planning and development functions and services to</w:t>
      </w:r>
      <w:r w:rsidR="00AD44C6">
        <w:t xml:space="preserve"> </w:t>
      </w:r>
      <w:r w:rsidRPr="00A25F2C">
        <w:t>the communities we serve. To provide these services, we are continuing to uplift our role as a customer-focused modern regulator. In addition, more roles have been created to respond to population and job growth and climate change in Melbourne. We are also working through a range of programs to provide timely and consistent services to local government,</w:t>
      </w:r>
      <w:r w:rsidR="00AD44C6">
        <w:t xml:space="preserve"> </w:t>
      </w:r>
      <w:proofErr w:type="gramStart"/>
      <w:r w:rsidRPr="00A25F2C">
        <w:t>developers</w:t>
      </w:r>
      <w:proofErr w:type="gramEnd"/>
      <w:r w:rsidRPr="00A25F2C">
        <w:t xml:space="preserve"> and other stakeholders, while being transparent and accountable around our obligations and commitments.</w:t>
      </w:r>
    </w:p>
    <w:p w14:paraId="2C5A1064" w14:textId="0199A300" w:rsidR="007F4791" w:rsidRPr="00A25F2C" w:rsidRDefault="007F4791" w:rsidP="00AD44C6">
      <w:pPr>
        <w:pStyle w:val="Heading4"/>
      </w:pPr>
      <w:r w:rsidRPr="00A25F2C">
        <w:t>Water literacy</w:t>
      </w:r>
    </w:p>
    <w:p w14:paraId="16339157" w14:textId="77777777" w:rsidR="007F4791" w:rsidRPr="00A25F2C" w:rsidRDefault="007F4791" w:rsidP="007F4791">
      <w:pPr>
        <w:pStyle w:val="BodyText"/>
      </w:pPr>
      <w:r w:rsidRPr="00A25F2C">
        <w:t>An evidence-based approach and behaviour change framework underpin Melbourne Water’s approach to connecting with customers in an engaging way to improve the water literacy of all Melburnians.</w:t>
      </w:r>
    </w:p>
    <w:p w14:paraId="535B753F" w14:textId="77777777" w:rsidR="007F4791" w:rsidRPr="00A25F2C" w:rsidRDefault="007F4791" w:rsidP="007F4791">
      <w:pPr>
        <w:pStyle w:val="BodyText"/>
      </w:pPr>
      <w:r w:rsidRPr="00A25F2C">
        <w:t>Our research and insights tell us that higher water literacy is linked to customers’ acceptance of alternative water sources and higher uptake of water saving behaviours. In a water- literate community, customers are informed about water cycle management and empowered to participate in shaping the future of Melbourne’s water.</w:t>
      </w:r>
    </w:p>
    <w:p w14:paraId="76ADC607" w14:textId="77777777" w:rsidR="007F4791" w:rsidRPr="00A25F2C" w:rsidRDefault="007F4791" w:rsidP="007F4791">
      <w:pPr>
        <w:pStyle w:val="BodyText"/>
      </w:pPr>
      <w:r w:rsidRPr="00A25F2C">
        <w:t xml:space="preserve">Water literacy has been built into our </w:t>
      </w:r>
      <w:r w:rsidRPr="00A25F2C">
        <w:rPr>
          <w:i/>
        </w:rPr>
        <w:t xml:space="preserve">2021 Price Submission </w:t>
      </w:r>
      <w:r w:rsidRPr="00A25F2C">
        <w:t>price period and will be measured over time through research and insights gathered on a quarterly basis via brand tracking, and biannually via the water issues survey.</w:t>
      </w:r>
    </w:p>
    <w:p w14:paraId="0392FA13" w14:textId="77777777" w:rsidR="007F4791" w:rsidRPr="00A25F2C" w:rsidRDefault="007F4791" w:rsidP="007F4791">
      <w:pPr>
        <w:pStyle w:val="BodyText"/>
      </w:pPr>
      <w:r w:rsidRPr="00A25F2C">
        <w:t>Our baseline research shows that individuals with higher water literacy:</w:t>
      </w:r>
    </w:p>
    <w:p w14:paraId="38906460" w14:textId="77777777" w:rsidR="007F4791" w:rsidRPr="00A25F2C" w:rsidRDefault="007F4791" w:rsidP="007F4791">
      <w:pPr>
        <w:pStyle w:val="ListBullet"/>
      </w:pPr>
      <w:r w:rsidRPr="00A25F2C">
        <w:t>are advocates of the work we do</w:t>
      </w:r>
    </w:p>
    <w:p w14:paraId="16677691" w14:textId="77777777" w:rsidR="007F4791" w:rsidRPr="00A25F2C" w:rsidRDefault="007F4791" w:rsidP="007F4791">
      <w:pPr>
        <w:pStyle w:val="ListBullet"/>
      </w:pPr>
      <w:r w:rsidRPr="00A25F2C">
        <w:t>have embedded water saving habits</w:t>
      </w:r>
    </w:p>
    <w:p w14:paraId="1A3C5B4A" w14:textId="77777777" w:rsidR="007F4791" w:rsidRPr="00A25F2C" w:rsidRDefault="007F4791" w:rsidP="007F4791">
      <w:pPr>
        <w:pStyle w:val="ListBullet"/>
      </w:pPr>
      <w:r w:rsidRPr="00A25F2C">
        <w:t>are aware of the role of the Victorian Desalination Plant</w:t>
      </w:r>
    </w:p>
    <w:p w14:paraId="1886EBB8" w14:textId="77777777" w:rsidR="007F4791" w:rsidRPr="00A25F2C" w:rsidRDefault="007F4791" w:rsidP="007F4791">
      <w:pPr>
        <w:pStyle w:val="ListBullet"/>
      </w:pPr>
      <w:r w:rsidRPr="00A25F2C">
        <w:t>are accepting of the use of alternative water sources, such as purified recycled water for drinking</w:t>
      </w:r>
    </w:p>
    <w:p w14:paraId="0B0DB06A" w14:textId="77777777" w:rsidR="007F4791" w:rsidRPr="00A25F2C" w:rsidRDefault="007F4791" w:rsidP="007F4791">
      <w:pPr>
        <w:pStyle w:val="ListBullet"/>
      </w:pPr>
      <w:r w:rsidRPr="00A25F2C">
        <w:t>have trust and confidence in Melbourne Water.</w:t>
      </w:r>
    </w:p>
    <w:p w14:paraId="27357953" w14:textId="77777777" w:rsidR="007F4791" w:rsidRPr="00A25F2C" w:rsidRDefault="007F4791" w:rsidP="007F4791">
      <w:pPr>
        <w:pStyle w:val="BodyText"/>
      </w:pPr>
      <w:r w:rsidRPr="00A25F2C">
        <w:t>One outcome of driving water literacy is an increase in customers’ familiarity with our organisation, which creates a platform for Melbourne Water to deliver key programs of work into the future.</w:t>
      </w:r>
    </w:p>
    <w:p w14:paraId="394DE436" w14:textId="4ADD5B4B" w:rsidR="007F4791" w:rsidRPr="00A25F2C" w:rsidRDefault="007F4791" w:rsidP="007F4791">
      <w:pPr>
        <w:pStyle w:val="BodyText"/>
      </w:pPr>
      <w:r w:rsidRPr="00A25F2C">
        <w:t>Through engagement with our service strategies, customers have told us that we have a significant role to play in building understanding of the water cycle. This feedback supports our need to continue engagement with the community and schools through targeted education programs, community events and partnership activations to progress towards these outcomes.</w:t>
      </w:r>
      <w:r w:rsidR="00AD44C6">
        <w:t xml:space="preserve"> </w:t>
      </w:r>
      <w:r w:rsidRPr="00A25F2C">
        <w:t>Actions have been built into each of the service strategies to ensure we deliver on these outcomes.</w:t>
      </w:r>
    </w:p>
    <w:p w14:paraId="2940E813" w14:textId="61DDAB80" w:rsidR="007F4791" w:rsidRPr="00A25F2C" w:rsidRDefault="007F4791" w:rsidP="007F4791">
      <w:pPr>
        <w:pStyle w:val="BodyText"/>
      </w:pPr>
      <w:r w:rsidRPr="00A25F2C">
        <w:t>Improving community water literacy is a key strategic priority for Melbourne Water, supported by a significant work program reaching across our services and customer delivery. The program will be ongoing over the next five years to ensure community members are educated and primed for the</w:t>
      </w:r>
      <w:r w:rsidR="00AD44C6">
        <w:t xml:space="preserve"> </w:t>
      </w:r>
      <w:r w:rsidRPr="00A25F2C">
        <w:t xml:space="preserve">next augmentation of our water supply, and to encourage community participation in delivering </w:t>
      </w:r>
      <w:r w:rsidR="00E23BDC">
        <w:t>Integrated Water Management</w:t>
      </w:r>
      <w:r w:rsidRPr="00A25F2C">
        <w:t xml:space="preserve"> through water saving initiatives in and around the home.</w:t>
      </w:r>
    </w:p>
    <w:p w14:paraId="3A13E443" w14:textId="461180CC" w:rsidR="007F4791" w:rsidRDefault="007F4791" w:rsidP="007F4791">
      <w:pPr>
        <w:pStyle w:val="BodyText"/>
        <w:rPr>
          <w:b/>
        </w:rPr>
      </w:pPr>
      <w:r w:rsidRPr="00A25F2C">
        <w:rPr>
          <w:b/>
        </w:rPr>
        <w:lastRenderedPageBreak/>
        <w:t>Delivering on</w:t>
      </w:r>
      <w:r w:rsidR="00025489">
        <w:rPr>
          <w:b/>
        </w:rPr>
        <w:t xml:space="preserve"> </w:t>
      </w:r>
    </w:p>
    <w:p w14:paraId="210D2AEE" w14:textId="691739E6" w:rsidR="00025489" w:rsidRPr="00025489" w:rsidRDefault="00025489" w:rsidP="00025489">
      <w:pPr>
        <w:pStyle w:val="ListBullet"/>
      </w:pPr>
      <w:r>
        <w:t>S</w:t>
      </w:r>
      <w:r w:rsidRPr="00025489">
        <w:t>ustainable Development Goal 3: Good Health and Well-being</w:t>
      </w:r>
    </w:p>
    <w:p w14:paraId="1134B931" w14:textId="71862CCE" w:rsidR="00025489" w:rsidRPr="00025489" w:rsidRDefault="00025489" w:rsidP="00025489">
      <w:pPr>
        <w:pStyle w:val="ListBullet"/>
      </w:pPr>
      <w:r w:rsidRPr="00025489">
        <w:t xml:space="preserve">Sustainable Development Goal 9: Industry, </w:t>
      </w:r>
      <w:proofErr w:type="gramStart"/>
      <w:r w:rsidRPr="00025489">
        <w:t>Innovation</w:t>
      </w:r>
      <w:proofErr w:type="gramEnd"/>
      <w:r w:rsidRPr="00025489">
        <w:t xml:space="preserve"> and Infrastructure</w:t>
      </w:r>
    </w:p>
    <w:p w14:paraId="58B5365D" w14:textId="3488957D" w:rsidR="00025489" w:rsidRPr="00A25F2C" w:rsidRDefault="00025489" w:rsidP="00025489">
      <w:pPr>
        <w:pStyle w:val="ListBullet"/>
      </w:pPr>
      <w:r w:rsidRPr="00025489">
        <w:t>Sustainable Development Goal 11: Sustainable Cities and Communities</w:t>
      </w:r>
    </w:p>
    <w:p w14:paraId="265EA325" w14:textId="103FDECF" w:rsidR="00143D6B" w:rsidRDefault="007F4791" w:rsidP="00FC6283">
      <w:pPr>
        <w:pStyle w:val="GreyBox"/>
      </w:pPr>
      <w:r w:rsidRPr="00A25F2C">
        <w:t>Water for Victoria chapter</w:t>
      </w:r>
      <w:r w:rsidR="00AD44C6">
        <w:t xml:space="preserve"> </w:t>
      </w:r>
      <w:r w:rsidRPr="00A25F2C">
        <w:t>10</w:t>
      </w:r>
      <w:r w:rsidR="00FC6283">
        <w:t>.</w:t>
      </w:r>
    </w:p>
    <w:p w14:paraId="214C36F9" w14:textId="08B1C1A6" w:rsidR="007F4791" w:rsidRPr="00A25F2C" w:rsidRDefault="007F4791" w:rsidP="00AD44C6">
      <w:pPr>
        <w:pStyle w:val="Heading2"/>
      </w:pPr>
      <w:bookmarkStart w:id="28" w:name="_Toc147756876"/>
      <w:r w:rsidRPr="00A25F2C">
        <w:t xml:space="preserve">Responding </w:t>
      </w:r>
      <w:r w:rsidRPr="00AD44C6">
        <w:t>to</w:t>
      </w:r>
      <w:r w:rsidRPr="00A25F2C">
        <w:t xml:space="preserve"> climate change</w:t>
      </w:r>
      <w:bookmarkEnd w:id="28"/>
    </w:p>
    <w:p w14:paraId="11DC2FAB" w14:textId="77777777" w:rsidR="00143D6B" w:rsidRDefault="007F4791" w:rsidP="00AD44C6">
      <w:pPr>
        <w:pStyle w:val="Heading3"/>
      </w:pPr>
      <w:bookmarkStart w:id="29" w:name="_Toc147756877"/>
      <w:r w:rsidRPr="00A25F2C">
        <w:t>What we do now</w:t>
      </w:r>
      <w:bookmarkEnd w:id="29"/>
    </w:p>
    <w:p w14:paraId="715C7A91" w14:textId="6414ED30" w:rsidR="007F4791" w:rsidRPr="00A25F2C" w:rsidRDefault="007F4791" w:rsidP="007F4791">
      <w:pPr>
        <w:pStyle w:val="BodyText"/>
      </w:pPr>
      <w:r w:rsidRPr="00A25F2C">
        <w:t>Climate change poses significant risks to all our services, and future access to safe and affordable water, particularly through impacts on local water cycles and water resources. Therefore, adapting to future climate and growth scenarios is a core driver of Melbourne Water’s long-term strategy for water supply, sewer systems, flood and drainage, and waterways and catchments.</w:t>
      </w:r>
    </w:p>
    <w:p w14:paraId="03D6F4D5" w14:textId="77777777" w:rsidR="007F4791" w:rsidRPr="00A25F2C" w:rsidRDefault="007F4791" w:rsidP="007F4791">
      <w:pPr>
        <w:pStyle w:val="BodyText"/>
      </w:pPr>
      <w:r w:rsidRPr="00A25F2C">
        <w:t xml:space="preserve">State and national climate policy is evolving alongside global climate science and growing momentum for climate responses. The Victorian Government has provided guidance to Melbourne Water as part of its climate change response, ranging from general goals set in statewide adaptation plans to specific operating requirements, such as those outlined in the </w:t>
      </w:r>
      <w:r w:rsidRPr="00A25F2C">
        <w:rPr>
          <w:i/>
        </w:rPr>
        <w:t xml:space="preserve">Guidelines for Assessing the Impact of Climate Change on Water Availability in Victoria </w:t>
      </w:r>
      <w:r w:rsidRPr="00A25F2C">
        <w:t xml:space="preserve">(2020) and the </w:t>
      </w:r>
      <w:r w:rsidRPr="00A25F2C">
        <w:rPr>
          <w:i/>
        </w:rPr>
        <w:t xml:space="preserve">Guidelines for the Adaptive Management of Wastewater Systems Under Climate Change in Victoria </w:t>
      </w:r>
      <w:r w:rsidRPr="00A25F2C">
        <w:t>(2022).</w:t>
      </w:r>
    </w:p>
    <w:p w14:paraId="687B2F12" w14:textId="77777777" w:rsidR="007F4791" w:rsidRPr="00A25F2C" w:rsidRDefault="007F4791" w:rsidP="007F4791">
      <w:pPr>
        <w:pStyle w:val="BodyText"/>
      </w:pPr>
      <w:r w:rsidRPr="00A25F2C">
        <w:t>Climate change is a key part of Melbourne Water’s strategic planning and service strategies. An ongoing program of improvements to capability and processes supports our ability to deliver the changes and innovations set out in the service strategies. We are building collaboration with local government and Melbourne’s retail water companies to support regional capability and alignment across efforts to respond to climate change.</w:t>
      </w:r>
    </w:p>
    <w:p w14:paraId="58C9BF5F" w14:textId="2751FB4D" w:rsidR="007F4791" w:rsidRPr="00A25F2C" w:rsidRDefault="007F4791" w:rsidP="007F4791">
      <w:pPr>
        <w:pStyle w:val="BodyText"/>
      </w:pPr>
      <w:r w:rsidRPr="00A25F2C">
        <w:t>We also run an ongoing program to further integrate climate risk and opportunity considerations across all business activities. This includes investigating emerging climate risk areas, improving the climate information we share with stakeholders, increasing the breadth of climate information used in asset planning, and regional collaboration on climate capability.</w:t>
      </w:r>
    </w:p>
    <w:p w14:paraId="249EEC59" w14:textId="2CB57A45" w:rsidR="007F4791" w:rsidRPr="00A25F2C" w:rsidRDefault="007F4791" w:rsidP="007F4791">
      <w:pPr>
        <w:pStyle w:val="BodyText"/>
      </w:pPr>
      <w:r w:rsidRPr="00A25F2C">
        <w:t xml:space="preserve">Melbourne Water is using guidance from the new </w:t>
      </w:r>
      <w:r w:rsidRPr="00A25F2C">
        <w:rPr>
          <w:i/>
        </w:rPr>
        <w:t xml:space="preserve">Climate Change Sewerage Guidelines </w:t>
      </w:r>
      <w:r w:rsidRPr="00A25F2C">
        <w:t>as an input to strategic risk investigation and long-term planning for sewage systems.</w:t>
      </w:r>
      <w:r w:rsidR="00AD44C6">
        <w:t xml:space="preserve"> </w:t>
      </w:r>
      <w:r w:rsidRPr="00A25F2C">
        <w:t>This includes building knowledge about the ways wastewater systems may be sensitive to climate change. In addition, we are identifying which elements may be at risk across the transfer and treatment plant networks.</w:t>
      </w:r>
    </w:p>
    <w:p w14:paraId="7FDDE713" w14:textId="77777777" w:rsidR="007F4791" w:rsidRPr="00A25F2C" w:rsidRDefault="007F4791" w:rsidP="007F4791">
      <w:pPr>
        <w:pStyle w:val="BodyText"/>
      </w:pPr>
      <w:r w:rsidRPr="00A25F2C">
        <w:t xml:space="preserve">A range of potential climate scenario impacts have been modelled for the sewer transfer system drawing on downscaled Victorian climate projections and detailed rainfall data. The </w:t>
      </w:r>
      <w:r w:rsidRPr="00A25F2C">
        <w:rPr>
          <w:i/>
        </w:rPr>
        <w:t xml:space="preserve">Climate Change Sewerage Guidelines </w:t>
      </w:r>
      <w:r w:rsidRPr="00A25F2C">
        <w:t>have helped inform the broad range of climate hazard types being explored as we develop strategic plans for the Eastern and Western treatment plants.</w:t>
      </w:r>
    </w:p>
    <w:p w14:paraId="7EF6AE72" w14:textId="77777777" w:rsidR="007F4791" w:rsidRPr="00A25F2C" w:rsidRDefault="007F4791" w:rsidP="007F4791">
      <w:pPr>
        <w:pStyle w:val="BodyText"/>
      </w:pPr>
      <w:r w:rsidRPr="00A25F2C">
        <w:t>In the short term, Melbourne Water aims to:</w:t>
      </w:r>
    </w:p>
    <w:p w14:paraId="588F5701" w14:textId="77777777" w:rsidR="007F4791" w:rsidRPr="00A25F2C" w:rsidRDefault="007F4791" w:rsidP="007F4791">
      <w:pPr>
        <w:pStyle w:val="ListBullet"/>
      </w:pPr>
      <w:r w:rsidRPr="00A25F2C">
        <w:t>continue integrating emissions reduction and climate adaptation programs</w:t>
      </w:r>
    </w:p>
    <w:p w14:paraId="0E09AA7E" w14:textId="77777777" w:rsidR="007F4791" w:rsidRPr="00A25F2C" w:rsidRDefault="007F4791" w:rsidP="007F4791">
      <w:pPr>
        <w:pStyle w:val="ListBullet"/>
      </w:pPr>
      <w:r w:rsidRPr="00A25F2C">
        <w:t>investigate priority scope 3 emission areas and options to reduce scope 3 emissions</w:t>
      </w:r>
    </w:p>
    <w:p w14:paraId="23DE512F" w14:textId="77777777" w:rsidR="007F4791" w:rsidRPr="00A25F2C" w:rsidRDefault="007F4791" w:rsidP="007F4791">
      <w:pPr>
        <w:pStyle w:val="ListBullet"/>
      </w:pPr>
      <w:r w:rsidRPr="00A25F2C">
        <w:t>continue and expand awareness and knowledge brokering programs to help our people engage with climate challenges and identify opportunities</w:t>
      </w:r>
    </w:p>
    <w:p w14:paraId="22DD2E66" w14:textId="77777777" w:rsidR="007F4791" w:rsidRPr="00A25F2C" w:rsidRDefault="007F4791" w:rsidP="00FC6283">
      <w:pPr>
        <w:pStyle w:val="ListBullet"/>
        <w:keepNext/>
      </w:pPr>
      <w:r w:rsidRPr="00A25F2C">
        <w:lastRenderedPageBreak/>
        <w:t>continue sharing information with industry and communities and utilise information learned from others</w:t>
      </w:r>
    </w:p>
    <w:p w14:paraId="22274563" w14:textId="77777777" w:rsidR="00143D6B" w:rsidRDefault="007F4791" w:rsidP="00FC6283">
      <w:pPr>
        <w:pStyle w:val="ListBullet"/>
        <w:spacing w:after="100" w:afterAutospacing="1"/>
      </w:pPr>
      <w:r w:rsidRPr="00A25F2C">
        <w:t>continue improving integration of climate into asset management.</w:t>
      </w:r>
    </w:p>
    <w:tbl>
      <w:tblPr>
        <w:tblStyle w:val="TableProfessional"/>
        <w:tblW w:w="5000" w:type="pct"/>
        <w:tblLook w:val="0620" w:firstRow="1" w:lastRow="0" w:firstColumn="0" w:lastColumn="0" w:noHBand="1" w:noVBand="1"/>
      </w:tblPr>
      <w:tblGrid>
        <w:gridCol w:w="3613"/>
        <w:gridCol w:w="732"/>
        <w:gridCol w:w="965"/>
        <w:gridCol w:w="1102"/>
        <w:gridCol w:w="1075"/>
        <w:gridCol w:w="1073"/>
        <w:gridCol w:w="1071"/>
      </w:tblGrid>
      <w:tr w:rsidR="007F4791" w:rsidRPr="00A25F2C" w14:paraId="0C9AEA35" w14:textId="77777777" w:rsidTr="00D83413">
        <w:trPr>
          <w:cnfStyle w:val="100000000000" w:firstRow="1" w:lastRow="0" w:firstColumn="0" w:lastColumn="0" w:oddVBand="0" w:evenVBand="0" w:oddHBand="0" w:evenHBand="0" w:firstRowFirstColumn="0" w:firstRowLastColumn="0" w:lastRowFirstColumn="0" w:lastRowLastColumn="0"/>
        </w:trPr>
        <w:tc>
          <w:tcPr>
            <w:tcW w:w="1876" w:type="pct"/>
          </w:tcPr>
          <w:p w14:paraId="361CC0FC" w14:textId="3D5EA404" w:rsidR="007F4791" w:rsidRPr="00A25F2C" w:rsidRDefault="00443124" w:rsidP="007F4791">
            <w:pPr>
              <w:spacing w:before="0" w:after="0"/>
            </w:pPr>
            <w:r>
              <w:t>Electricity Usage Type</w:t>
            </w:r>
          </w:p>
        </w:tc>
        <w:tc>
          <w:tcPr>
            <w:tcW w:w="380" w:type="pct"/>
          </w:tcPr>
          <w:p w14:paraId="08245EE3" w14:textId="161AC0FC" w:rsidR="007F4791" w:rsidRPr="00A25F2C" w:rsidRDefault="00443124" w:rsidP="007F4791">
            <w:pPr>
              <w:spacing w:before="0" w:after="0"/>
            </w:pPr>
            <w:r>
              <w:t>Unit</w:t>
            </w:r>
          </w:p>
        </w:tc>
        <w:tc>
          <w:tcPr>
            <w:tcW w:w="501" w:type="pct"/>
          </w:tcPr>
          <w:p w14:paraId="7658EE0C" w14:textId="77777777" w:rsidR="007F4791" w:rsidRPr="00A25F2C" w:rsidRDefault="007F4791" w:rsidP="004E1FA1">
            <w:pPr>
              <w:pStyle w:val="TableBodyText"/>
            </w:pPr>
            <w:r w:rsidRPr="00A25F2C">
              <w:t>2023-24</w:t>
            </w:r>
          </w:p>
        </w:tc>
        <w:tc>
          <w:tcPr>
            <w:tcW w:w="572" w:type="pct"/>
          </w:tcPr>
          <w:p w14:paraId="4CB13C6B" w14:textId="77777777" w:rsidR="007F4791" w:rsidRPr="00A25F2C" w:rsidRDefault="007F4791" w:rsidP="004E1FA1">
            <w:pPr>
              <w:pStyle w:val="TableBodyText"/>
            </w:pPr>
            <w:r w:rsidRPr="00A25F2C">
              <w:t>2024-25</w:t>
            </w:r>
          </w:p>
        </w:tc>
        <w:tc>
          <w:tcPr>
            <w:tcW w:w="558" w:type="pct"/>
          </w:tcPr>
          <w:p w14:paraId="4667AAAA" w14:textId="77777777" w:rsidR="007F4791" w:rsidRPr="00A25F2C" w:rsidRDefault="007F4791" w:rsidP="004E1FA1">
            <w:pPr>
              <w:pStyle w:val="TableBodyText"/>
            </w:pPr>
            <w:r w:rsidRPr="00A25F2C">
              <w:t>2025-26</w:t>
            </w:r>
          </w:p>
        </w:tc>
        <w:tc>
          <w:tcPr>
            <w:tcW w:w="557" w:type="pct"/>
          </w:tcPr>
          <w:p w14:paraId="120B14C7" w14:textId="77777777" w:rsidR="007F4791" w:rsidRPr="00A25F2C" w:rsidRDefault="007F4791" w:rsidP="004E1FA1">
            <w:pPr>
              <w:pStyle w:val="TableBodyText"/>
            </w:pPr>
            <w:r w:rsidRPr="00A25F2C">
              <w:t>2026-27</w:t>
            </w:r>
          </w:p>
        </w:tc>
        <w:tc>
          <w:tcPr>
            <w:tcW w:w="556" w:type="pct"/>
          </w:tcPr>
          <w:p w14:paraId="4E28C1AD" w14:textId="77777777" w:rsidR="007F4791" w:rsidRPr="00A25F2C" w:rsidRDefault="007F4791" w:rsidP="004E1FA1">
            <w:pPr>
              <w:pStyle w:val="TableBodyText"/>
            </w:pPr>
            <w:r w:rsidRPr="00A25F2C">
              <w:t>2027-28</w:t>
            </w:r>
          </w:p>
        </w:tc>
      </w:tr>
      <w:tr w:rsidR="007F4791" w:rsidRPr="00A25F2C" w14:paraId="4B528E86" w14:textId="77777777" w:rsidTr="00D83413">
        <w:tc>
          <w:tcPr>
            <w:tcW w:w="1876" w:type="pct"/>
          </w:tcPr>
          <w:p w14:paraId="2E17BD5C" w14:textId="77777777" w:rsidR="007F4791" w:rsidRPr="00A25F2C" w:rsidRDefault="007F4791" w:rsidP="004E1FA1">
            <w:pPr>
              <w:pStyle w:val="TableBodyText"/>
            </w:pPr>
            <w:r w:rsidRPr="00A25F2C">
              <w:t>Total Projected Electricity Use</w:t>
            </w:r>
          </w:p>
        </w:tc>
        <w:tc>
          <w:tcPr>
            <w:tcW w:w="380" w:type="pct"/>
          </w:tcPr>
          <w:p w14:paraId="5FC83E8C" w14:textId="77777777" w:rsidR="007F4791" w:rsidRPr="00A25F2C" w:rsidRDefault="007F4791" w:rsidP="004E1FA1">
            <w:pPr>
              <w:pStyle w:val="TableBodyText"/>
            </w:pPr>
            <w:r w:rsidRPr="00A25F2C">
              <w:t>MWh</w:t>
            </w:r>
          </w:p>
        </w:tc>
        <w:tc>
          <w:tcPr>
            <w:tcW w:w="501" w:type="pct"/>
          </w:tcPr>
          <w:p w14:paraId="20146FAE" w14:textId="77777777" w:rsidR="007F4791" w:rsidRPr="00A25F2C" w:rsidRDefault="007F4791" w:rsidP="004E1FA1">
            <w:pPr>
              <w:pStyle w:val="TableBodyText"/>
            </w:pPr>
            <w:r w:rsidRPr="00A25F2C">
              <w:t>360,000</w:t>
            </w:r>
          </w:p>
        </w:tc>
        <w:tc>
          <w:tcPr>
            <w:tcW w:w="572" w:type="pct"/>
          </w:tcPr>
          <w:p w14:paraId="4B0D327D" w14:textId="77777777" w:rsidR="007F4791" w:rsidRPr="00A25F2C" w:rsidRDefault="007F4791" w:rsidP="004E1FA1">
            <w:pPr>
              <w:pStyle w:val="TableBodyText"/>
            </w:pPr>
            <w:r w:rsidRPr="00A25F2C">
              <w:t>380,000</w:t>
            </w:r>
          </w:p>
        </w:tc>
        <w:tc>
          <w:tcPr>
            <w:tcW w:w="558" w:type="pct"/>
          </w:tcPr>
          <w:p w14:paraId="5456BBCD" w14:textId="77777777" w:rsidR="007F4791" w:rsidRPr="00A25F2C" w:rsidRDefault="007F4791" w:rsidP="004E1FA1">
            <w:pPr>
              <w:pStyle w:val="TableBodyText"/>
            </w:pPr>
            <w:r w:rsidRPr="00A25F2C">
              <w:t>400,000</w:t>
            </w:r>
          </w:p>
        </w:tc>
        <w:tc>
          <w:tcPr>
            <w:tcW w:w="557" w:type="pct"/>
          </w:tcPr>
          <w:p w14:paraId="1E6F91E0" w14:textId="77777777" w:rsidR="007F4791" w:rsidRPr="00A25F2C" w:rsidRDefault="007F4791" w:rsidP="004E1FA1">
            <w:pPr>
              <w:pStyle w:val="TableBodyText"/>
            </w:pPr>
            <w:r w:rsidRPr="00A25F2C">
              <w:t>410,000</w:t>
            </w:r>
          </w:p>
        </w:tc>
        <w:tc>
          <w:tcPr>
            <w:tcW w:w="556" w:type="pct"/>
          </w:tcPr>
          <w:p w14:paraId="393BEF27" w14:textId="77777777" w:rsidR="007F4791" w:rsidRPr="00A25F2C" w:rsidRDefault="007F4791" w:rsidP="004E1FA1">
            <w:pPr>
              <w:pStyle w:val="TableBodyText"/>
            </w:pPr>
            <w:r w:rsidRPr="00A25F2C">
              <w:t>420,000</w:t>
            </w:r>
          </w:p>
        </w:tc>
      </w:tr>
      <w:tr w:rsidR="007F4791" w:rsidRPr="00A25F2C" w14:paraId="6D3884E5" w14:textId="77777777" w:rsidTr="00D83413">
        <w:tc>
          <w:tcPr>
            <w:tcW w:w="1876" w:type="pct"/>
          </w:tcPr>
          <w:p w14:paraId="39327EFA" w14:textId="77777777" w:rsidR="007F4791" w:rsidRPr="00A25F2C" w:rsidRDefault="007F4791" w:rsidP="004E1FA1">
            <w:pPr>
              <w:pStyle w:val="TableBodyText"/>
            </w:pPr>
            <w:r w:rsidRPr="00A25F2C">
              <w:t>Total Projected Renewable Annual Electricity Use</w:t>
            </w:r>
          </w:p>
        </w:tc>
        <w:tc>
          <w:tcPr>
            <w:tcW w:w="380" w:type="pct"/>
          </w:tcPr>
          <w:p w14:paraId="613DFD8F" w14:textId="77777777" w:rsidR="007F4791" w:rsidRPr="00A25F2C" w:rsidRDefault="007F4791" w:rsidP="004E1FA1">
            <w:pPr>
              <w:pStyle w:val="TableBodyText"/>
            </w:pPr>
            <w:r w:rsidRPr="00A25F2C">
              <w:t>MWh</w:t>
            </w:r>
          </w:p>
        </w:tc>
        <w:tc>
          <w:tcPr>
            <w:tcW w:w="501" w:type="pct"/>
          </w:tcPr>
          <w:p w14:paraId="22352E65" w14:textId="77777777" w:rsidR="007F4791" w:rsidRPr="00A25F2C" w:rsidRDefault="007F4791" w:rsidP="004E1FA1">
            <w:pPr>
              <w:pStyle w:val="TableBodyText"/>
            </w:pPr>
            <w:r w:rsidRPr="00A25F2C">
              <w:t>80,000</w:t>
            </w:r>
          </w:p>
        </w:tc>
        <w:tc>
          <w:tcPr>
            <w:tcW w:w="572" w:type="pct"/>
          </w:tcPr>
          <w:p w14:paraId="6D418B31" w14:textId="77777777" w:rsidR="007F4791" w:rsidRPr="00A25F2C" w:rsidRDefault="007F4791" w:rsidP="004E1FA1">
            <w:pPr>
              <w:pStyle w:val="TableBodyText"/>
            </w:pPr>
            <w:r w:rsidRPr="00A25F2C">
              <w:t>380,000</w:t>
            </w:r>
          </w:p>
        </w:tc>
        <w:tc>
          <w:tcPr>
            <w:tcW w:w="558" w:type="pct"/>
          </w:tcPr>
          <w:p w14:paraId="0685C0FA" w14:textId="77777777" w:rsidR="007F4791" w:rsidRPr="00A25F2C" w:rsidRDefault="007F4791" w:rsidP="004E1FA1">
            <w:pPr>
              <w:pStyle w:val="TableBodyText"/>
            </w:pPr>
            <w:r w:rsidRPr="00A25F2C">
              <w:t>400,000</w:t>
            </w:r>
          </w:p>
        </w:tc>
        <w:tc>
          <w:tcPr>
            <w:tcW w:w="557" w:type="pct"/>
          </w:tcPr>
          <w:p w14:paraId="5448F922" w14:textId="77777777" w:rsidR="007F4791" w:rsidRPr="00A25F2C" w:rsidRDefault="007F4791" w:rsidP="004E1FA1">
            <w:pPr>
              <w:pStyle w:val="TableBodyText"/>
            </w:pPr>
            <w:r w:rsidRPr="00A25F2C">
              <w:t>410,000</w:t>
            </w:r>
          </w:p>
        </w:tc>
        <w:tc>
          <w:tcPr>
            <w:tcW w:w="556" w:type="pct"/>
          </w:tcPr>
          <w:p w14:paraId="0E8A5DAE" w14:textId="77777777" w:rsidR="007F4791" w:rsidRPr="00A25F2C" w:rsidRDefault="007F4791" w:rsidP="004E1FA1">
            <w:pPr>
              <w:pStyle w:val="TableBodyText"/>
            </w:pPr>
            <w:r w:rsidRPr="00A25F2C">
              <w:t>420,000</w:t>
            </w:r>
          </w:p>
        </w:tc>
      </w:tr>
    </w:tbl>
    <w:p w14:paraId="7606BDF4" w14:textId="77777777" w:rsidR="007F4791" w:rsidRPr="00A25F2C" w:rsidRDefault="007F4791" w:rsidP="007F4791">
      <w:pPr>
        <w:pStyle w:val="BodyText"/>
      </w:pPr>
      <w:r w:rsidRPr="00A25F2C">
        <w:t>Notes:</w:t>
      </w:r>
    </w:p>
    <w:p w14:paraId="0F058DBE" w14:textId="1DBE0DE5" w:rsidR="00143D6B" w:rsidRDefault="007F4791" w:rsidP="00F13D2F">
      <w:pPr>
        <w:pStyle w:val="ListNumber"/>
        <w:numPr>
          <w:ilvl w:val="0"/>
          <w:numId w:val="12"/>
        </w:numPr>
      </w:pPr>
      <w:r w:rsidRPr="00A25F2C">
        <w:t>Renewable electricity use assumes Large-scale renewable energy target (LRET) of 18.96% renewable for grid electricity, and approx. 20 GWh/y</w:t>
      </w:r>
      <w:r w:rsidR="005C41F0">
        <w:t>ea</w:t>
      </w:r>
      <w:r w:rsidRPr="00A25F2C">
        <w:t>r of non-REC certified generation.</w:t>
      </w:r>
    </w:p>
    <w:p w14:paraId="03C006EF" w14:textId="19106C12" w:rsidR="00AD44C6" w:rsidRDefault="00AD44C6" w:rsidP="00F13D2F">
      <w:pPr>
        <w:pStyle w:val="ListNumber"/>
        <w:numPr>
          <w:ilvl w:val="0"/>
          <w:numId w:val="12"/>
        </w:numPr>
      </w:pPr>
      <w:r w:rsidRPr="00AD44C6">
        <w:t>100% renewable target assumed as starting 1 July 2024.</w:t>
      </w:r>
    </w:p>
    <w:p w14:paraId="1921A621" w14:textId="77777777" w:rsidR="00143D6B" w:rsidRDefault="007F4791" w:rsidP="00AD44C6">
      <w:pPr>
        <w:pStyle w:val="Heading3"/>
      </w:pPr>
      <w:bookmarkStart w:id="30" w:name="_Toc147756878"/>
      <w:r w:rsidRPr="00A25F2C">
        <w:t>Impacts of a changing climate and how we will respond</w:t>
      </w:r>
      <w:bookmarkEnd w:id="30"/>
    </w:p>
    <w:p w14:paraId="18C871E6" w14:textId="365294C2" w:rsidR="007F4791" w:rsidRPr="00A25F2C" w:rsidRDefault="007F4791" w:rsidP="00AD44C6">
      <w:pPr>
        <w:pStyle w:val="Heading4"/>
      </w:pPr>
      <w:r w:rsidRPr="00A25F2C">
        <w:t>Water</w:t>
      </w:r>
    </w:p>
    <w:p w14:paraId="5CC6485D" w14:textId="77777777" w:rsidR="007F4791" w:rsidRPr="00A25F2C" w:rsidRDefault="007F4791" w:rsidP="009A65B7">
      <w:pPr>
        <w:pStyle w:val="ListBullet"/>
      </w:pPr>
      <w:r w:rsidRPr="00A25F2C">
        <w:t>Water security is an ongoing concern due to climate change reducing water yield. Our annual Water Outlook program helps us manage near-term supply and demand while we plan for long-term security.</w:t>
      </w:r>
    </w:p>
    <w:p w14:paraId="3DD30063" w14:textId="77777777" w:rsidR="007F4791" w:rsidRPr="00A25F2C" w:rsidRDefault="007F4791" w:rsidP="009A65B7">
      <w:pPr>
        <w:pStyle w:val="ListBullet"/>
      </w:pPr>
      <w:r w:rsidRPr="00A25F2C">
        <w:t xml:space="preserve">Increased severity and frequency of emergency events such as bushfires, </w:t>
      </w:r>
      <w:proofErr w:type="gramStart"/>
      <w:r w:rsidRPr="00A25F2C">
        <w:t>floods</w:t>
      </w:r>
      <w:proofErr w:type="gramEnd"/>
      <w:r w:rsidRPr="00A25F2C">
        <w:t xml:space="preserve"> and algae blooms.</w:t>
      </w:r>
    </w:p>
    <w:p w14:paraId="62C29F51" w14:textId="77777777" w:rsidR="007F4791" w:rsidRPr="00A25F2C" w:rsidRDefault="007F4791" w:rsidP="009A65B7">
      <w:pPr>
        <w:pStyle w:val="ListBullet"/>
      </w:pPr>
      <w:r w:rsidRPr="00A25F2C">
        <w:t>Working with our retailer customers to drive water efficiency in the community.</w:t>
      </w:r>
    </w:p>
    <w:p w14:paraId="5F66DFF5" w14:textId="77777777" w:rsidR="007F4791" w:rsidRPr="00A25F2C" w:rsidRDefault="007F4791" w:rsidP="009A65B7">
      <w:pPr>
        <w:pStyle w:val="ListBullet"/>
      </w:pPr>
      <w:r w:rsidRPr="00A25F2C">
        <w:t xml:space="preserve">Collaboratively planning system and network augmentations with the retail water companies to optimise the water supply, </w:t>
      </w:r>
      <w:proofErr w:type="gramStart"/>
      <w:r w:rsidRPr="00A25F2C">
        <w:t>grid</w:t>
      </w:r>
      <w:proofErr w:type="gramEnd"/>
      <w:r w:rsidRPr="00A25F2C">
        <w:t xml:space="preserve"> and market.</w:t>
      </w:r>
    </w:p>
    <w:p w14:paraId="08AAABAC" w14:textId="76B3F6F8" w:rsidR="007F4791" w:rsidRPr="00A25F2C" w:rsidRDefault="007F4791" w:rsidP="009A65B7">
      <w:pPr>
        <w:pStyle w:val="ListBullet"/>
      </w:pPr>
      <w:r w:rsidRPr="00A25F2C">
        <w:t xml:space="preserve">Actively engaging in initiatives and actions stemming from the </w:t>
      </w:r>
      <w:r w:rsidR="00E23BDC">
        <w:t>Central and Gippsland Region Sustainable Water Strategy</w:t>
      </w:r>
      <w:r w:rsidRPr="00A25F2C">
        <w:t xml:space="preserve"> and </w:t>
      </w:r>
      <w:r w:rsidRPr="00A25F2C">
        <w:rPr>
          <w:i/>
        </w:rPr>
        <w:t>Water for Life</w:t>
      </w:r>
      <w:r w:rsidRPr="00A25F2C">
        <w:t>.</w:t>
      </w:r>
    </w:p>
    <w:p w14:paraId="1688AE05" w14:textId="77777777" w:rsidR="007F4791" w:rsidRPr="00A25F2C" w:rsidRDefault="007F4791" w:rsidP="009A65B7">
      <w:pPr>
        <w:pStyle w:val="ListBullet"/>
      </w:pPr>
      <w:r w:rsidRPr="00A25F2C">
        <w:t>Strategic risk assessment of existing systems to improve resilience to climate change forecasts.</w:t>
      </w:r>
    </w:p>
    <w:p w14:paraId="1488A2B4" w14:textId="4C9B6D81" w:rsidR="007F4791" w:rsidRPr="00A25F2C" w:rsidRDefault="007F4791" w:rsidP="00AD44C6">
      <w:pPr>
        <w:pStyle w:val="Heading4"/>
      </w:pPr>
      <w:r w:rsidRPr="00A25F2C">
        <w:t>Sewerage</w:t>
      </w:r>
    </w:p>
    <w:p w14:paraId="58D67F4C" w14:textId="77777777" w:rsidR="007F4791" w:rsidRPr="00A25F2C" w:rsidRDefault="007F4791" w:rsidP="007F4791">
      <w:pPr>
        <w:pStyle w:val="ListBullet"/>
      </w:pPr>
      <w:r w:rsidRPr="00A25F2C">
        <w:t>As Melbourne’s population grows, so will our need for further sewerage infrastructure, waste treatment and resource recovery.</w:t>
      </w:r>
    </w:p>
    <w:p w14:paraId="37DE7162" w14:textId="77777777" w:rsidR="007F4791" w:rsidRPr="00A25F2C" w:rsidRDefault="007F4791" w:rsidP="00F13D2F">
      <w:pPr>
        <w:pStyle w:val="ListBullet"/>
        <w:numPr>
          <w:ilvl w:val="0"/>
          <w:numId w:val="10"/>
        </w:numPr>
      </w:pPr>
      <w:r w:rsidRPr="00A25F2C">
        <w:t>It is predicted that climate change will increase the severity and frequency of extreme weather events, which will result in increased average peak wet weather flows and place stress on existing infrastructure.</w:t>
      </w:r>
    </w:p>
    <w:p w14:paraId="6BB09038" w14:textId="77777777" w:rsidR="007F4791" w:rsidRPr="00A25F2C" w:rsidRDefault="007F4791" w:rsidP="007F4791">
      <w:pPr>
        <w:pStyle w:val="ListBullet"/>
      </w:pPr>
      <w:r w:rsidRPr="00A25F2C">
        <w:t>Melbourne Water will likely require investment in treatment plant resilience at both the Western and Eastern treatment plants to manage an uncertain future and respond to both threats and opportunities.</w:t>
      </w:r>
    </w:p>
    <w:p w14:paraId="6F99A974" w14:textId="77777777" w:rsidR="007F4791" w:rsidRPr="00A25F2C" w:rsidRDefault="007F4791" w:rsidP="007F4791">
      <w:pPr>
        <w:pStyle w:val="ListBullet"/>
      </w:pPr>
      <w:r w:rsidRPr="00A25F2C">
        <w:t>Playing a greater role in the circular economy will be an important part of increasing the re-use of water and diversifying water resources to reduce the amount entering the environment.</w:t>
      </w:r>
    </w:p>
    <w:p w14:paraId="7506C3BE" w14:textId="77777777" w:rsidR="007F4791" w:rsidRPr="00A25F2C" w:rsidRDefault="007F4791" w:rsidP="007F4791">
      <w:pPr>
        <w:pStyle w:val="ListBullet"/>
      </w:pPr>
      <w:r w:rsidRPr="00A25F2C">
        <w:t>We will conduct investigations and research to better understand our direct emissions from our wastewater treatment plants.</w:t>
      </w:r>
    </w:p>
    <w:p w14:paraId="44EAB340" w14:textId="77777777" w:rsidR="00143D6B" w:rsidRDefault="007F4791" w:rsidP="007F4791">
      <w:pPr>
        <w:pStyle w:val="ListBullet"/>
      </w:pPr>
      <w:r w:rsidRPr="00A25F2C">
        <w:t>Investigating and implementing low emissions treatment opportunities for the Eastern and Western Treatment Plants will support our aspirations for our path to net zero.</w:t>
      </w:r>
    </w:p>
    <w:p w14:paraId="63DBE6A1" w14:textId="50DCE284" w:rsidR="007F4791" w:rsidRPr="00A25F2C" w:rsidRDefault="007F4791" w:rsidP="00AD44C6">
      <w:pPr>
        <w:pStyle w:val="Heading4"/>
      </w:pPr>
      <w:r w:rsidRPr="00A25F2C">
        <w:t>Drainage</w:t>
      </w:r>
    </w:p>
    <w:p w14:paraId="062BA69A" w14:textId="77777777" w:rsidR="007F4791" w:rsidRPr="00A25F2C" w:rsidRDefault="007F4791" w:rsidP="009A65B7">
      <w:pPr>
        <w:pStyle w:val="ListBullet"/>
      </w:pPr>
      <w:r w:rsidRPr="00A25F2C">
        <w:t>Climate change increases the risk and impacts of flooding, with varying impacts to urban and rural areas.</w:t>
      </w:r>
    </w:p>
    <w:p w14:paraId="53A31BF0" w14:textId="77777777" w:rsidR="007F4791" w:rsidRPr="00A25F2C" w:rsidRDefault="007F4791" w:rsidP="009A65B7">
      <w:pPr>
        <w:pStyle w:val="ListBullet"/>
      </w:pPr>
      <w:r w:rsidRPr="00A25F2C">
        <w:t xml:space="preserve">Sea level rise and coastal erosion create new flood hazards, while flash flooding is expected to increase </w:t>
      </w:r>
      <w:proofErr w:type="gramStart"/>
      <w:r w:rsidRPr="00A25F2C">
        <w:t>as a result of</w:t>
      </w:r>
      <w:proofErr w:type="gramEnd"/>
      <w:r w:rsidRPr="00A25F2C">
        <w:t xml:space="preserve"> increased rainfall intensity.</w:t>
      </w:r>
    </w:p>
    <w:p w14:paraId="3373B6A8" w14:textId="77777777" w:rsidR="007F4791" w:rsidRPr="00A25F2C" w:rsidRDefault="007F4791" w:rsidP="009A65B7">
      <w:pPr>
        <w:pStyle w:val="ListBullet"/>
      </w:pPr>
      <w:r w:rsidRPr="00A25F2C">
        <w:lastRenderedPageBreak/>
        <w:t>The safety, resilience and wellbeing of the community is at the forefront of our work and we have responsibilities to inform, protect and support the community in relation to flood risks.</w:t>
      </w:r>
    </w:p>
    <w:p w14:paraId="79331728" w14:textId="77777777" w:rsidR="007F4791" w:rsidRPr="00A25F2C" w:rsidRDefault="007F4791" w:rsidP="009A65B7">
      <w:pPr>
        <w:pStyle w:val="ListBullet"/>
      </w:pPr>
      <w:r w:rsidRPr="00A25F2C">
        <w:t>We are working in partnership with the Victorian Government and other partners to build a better understanding of flood impacts within the community.</w:t>
      </w:r>
    </w:p>
    <w:p w14:paraId="380C485A" w14:textId="01C4D33F" w:rsidR="007F4791" w:rsidRPr="00A25F2C" w:rsidRDefault="007F4791" w:rsidP="00AD44C6">
      <w:pPr>
        <w:pStyle w:val="Heading4"/>
      </w:pPr>
      <w:r w:rsidRPr="00A25F2C">
        <w:t>Waterways</w:t>
      </w:r>
    </w:p>
    <w:p w14:paraId="4A40710C" w14:textId="77777777" w:rsidR="007F4791" w:rsidRPr="00A25F2C" w:rsidRDefault="007F4791" w:rsidP="007F4791">
      <w:pPr>
        <w:pStyle w:val="ListBullet"/>
      </w:pPr>
      <w:r w:rsidRPr="00A25F2C">
        <w:t>Reduced overall rainfall volumes have been linked to climate change.</w:t>
      </w:r>
    </w:p>
    <w:p w14:paraId="253DB6B9" w14:textId="77777777" w:rsidR="007F4791" w:rsidRPr="00A25F2C" w:rsidRDefault="007F4791" w:rsidP="007F4791">
      <w:pPr>
        <w:pStyle w:val="ListBullet"/>
      </w:pPr>
      <w:r w:rsidRPr="00A25F2C">
        <w:t>Reduced water availability disproportionately affects the natural environment.</w:t>
      </w:r>
    </w:p>
    <w:p w14:paraId="4B97971F" w14:textId="6D43DB9E" w:rsidR="007F4791" w:rsidRPr="00A25F2C" w:rsidRDefault="007F4791" w:rsidP="007F4791">
      <w:pPr>
        <w:pStyle w:val="ListBullet"/>
      </w:pPr>
      <w:r w:rsidRPr="00A25F2C">
        <w:t xml:space="preserve">We are actively participating in actions from the </w:t>
      </w:r>
      <w:r w:rsidR="00E23BDC">
        <w:t>Central and Gippsland Region Sustainable Water Strategy</w:t>
      </w:r>
      <w:r w:rsidRPr="00A25F2C">
        <w:t xml:space="preserve"> to secure more water for the environment and working with state and local governments to enable </w:t>
      </w:r>
      <w:r w:rsidR="00E23BDC">
        <w:t>Integrated Water Management</w:t>
      </w:r>
      <w:r w:rsidRPr="00A25F2C">
        <w:t xml:space="preserve"> at a city scale, which helps to protect waterways from stormwater pollution while retaining more water for the urban natural environment.</w:t>
      </w:r>
    </w:p>
    <w:p w14:paraId="42BD082A" w14:textId="77777777" w:rsidR="00143D6B" w:rsidRDefault="007F4791" w:rsidP="007F4791">
      <w:pPr>
        <w:pStyle w:val="ListBullet"/>
      </w:pPr>
      <w:r w:rsidRPr="00A25F2C">
        <w:t>Melbourne Water is enhancing stormwater management for amenity and biodiversity.</w:t>
      </w:r>
    </w:p>
    <w:p w14:paraId="318497F9" w14:textId="5811ECFA" w:rsidR="007F4791" w:rsidRPr="00A25F2C" w:rsidRDefault="007F4791" w:rsidP="00AD44C6">
      <w:pPr>
        <w:pStyle w:val="Heading3"/>
      </w:pPr>
      <w:bookmarkStart w:id="31" w:name="_Toc147756879"/>
      <w:r w:rsidRPr="00A25F2C">
        <w:t>Cutting emissions through international partnerships</w:t>
      </w:r>
      <w:bookmarkEnd w:id="31"/>
    </w:p>
    <w:p w14:paraId="46C6FF3A" w14:textId="77777777" w:rsidR="007F4791" w:rsidRPr="00A25F2C" w:rsidRDefault="007F4791" w:rsidP="007F4791">
      <w:pPr>
        <w:pStyle w:val="BodyText"/>
      </w:pPr>
      <w:r w:rsidRPr="00A25F2C">
        <w:t>Melbourne Water recently entered a pioneering partnership to co-create the development of technologies and innovations to make wastewater treatment greener and begin to establish new international standards for measuring and reporting emissions.</w:t>
      </w:r>
    </w:p>
    <w:p w14:paraId="626D5066" w14:textId="31162303" w:rsidR="007F4791" w:rsidRPr="00A25F2C" w:rsidRDefault="007F4791" w:rsidP="007F4791">
      <w:pPr>
        <w:pStyle w:val="BodyText"/>
      </w:pPr>
      <w:r w:rsidRPr="00A25F2C">
        <w:t>Danish company Aarhus Vand, UK’s Severn Trent and Melbourne Water have committed to work together with the aim to reduce carbon emissions by around</w:t>
      </w:r>
      <w:r w:rsidR="009A65B7">
        <w:t xml:space="preserve"> </w:t>
      </w:r>
      <w:r w:rsidRPr="00A25F2C">
        <w:t xml:space="preserve">a million tonnes across our operations. Through this world-leading collaboration, partners will build on their experience, </w:t>
      </w:r>
      <w:proofErr w:type="gramStart"/>
      <w:r w:rsidRPr="00A25F2C">
        <w:t>expertise</w:t>
      </w:r>
      <w:proofErr w:type="gramEnd"/>
      <w:r w:rsidRPr="00A25F2C">
        <w:t xml:space="preserve"> and innovation capacities on key complementary projects such as:</w:t>
      </w:r>
    </w:p>
    <w:p w14:paraId="16B255AA" w14:textId="77777777" w:rsidR="007F4791" w:rsidRPr="00A25F2C" w:rsidRDefault="007F4791" w:rsidP="007F4791">
      <w:pPr>
        <w:pStyle w:val="ListBullet"/>
      </w:pPr>
      <w:r w:rsidRPr="00A25F2C">
        <w:t>developing new techniques to measure and record nitrous oxide and methane greenhouse gas releases from wastewater treatment sites and, as a result, establishing new, more accurate, international measurement standards</w:t>
      </w:r>
    </w:p>
    <w:p w14:paraId="528D10DB" w14:textId="77777777" w:rsidR="007F4791" w:rsidRPr="00A25F2C" w:rsidRDefault="007F4791" w:rsidP="00F13D2F">
      <w:pPr>
        <w:pStyle w:val="ListBullet"/>
        <w:numPr>
          <w:ilvl w:val="0"/>
          <w:numId w:val="27"/>
        </w:numPr>
      </w:pPr>
      <w:r w:rsidRPr="00A25F2C">
        <w:t>identifying ways to enhance current wastewater treatment sites with green technology that optimises the performance and efficiency of facilities while reducing emissions to net zero</w:t>
      </w:r>
    </w:p>
    <w:p w14:paraId="08CC80F2" w14:textId="77777777" w:rsidR="007F4791" w:rsidRPr="00A25F2C" w:rsidRDefault="007F4791" w:rsidP="007F4791">
      <w:pPr>
        <w:pStyle w:val="ListBullet"/>
      </w:pPr>
      <w:r w:rsidRPr="00A25F2C">
        <w:t>maximising the use of renewable, sustainable resources at treatment facilities</w:t>
      </w:r>
    </w:p>
    <w:p w14:paraId="287B8028" w14:textId="77777777" w:rsidR="007F4791" w:rsidRPr="00A25F2C" w:rsidRDefault="007F4791" w:rsidP="007F4791">
      <w:pPr>
        <w:pStyle w:val="ListBullet"/>
      </w:pPr>
      <w:r w:rsidRPr="00A25F2C">
        <w:t>gathering and sharing information on the technical and economic feasibility of options to reduce emissions, creating a roadmap for the industry to achieve net zero most efficiently, at the best value for customers</w:t>
      </w:r>
    </w:p>
    <w:p w14:paraId="24F059DF" w14:textId="77777777" w:rsidR="007F4791" w:rsidRPr="00A25F2C" w:rsidRDefault="007F4791" w:rsidP="007F4791">
      <w:pPr>
        <w:pStyle w:val="ListBullet"/>
      </w:pPr>
      <w:r w:rsidRPr="00A25F2C">
        <w:t>exploring the potential for employment secondments between the three companies, so that talent and expertise can be shared and developed around the alliance and across the world.</w:t>
      </w:r>
    </w:p>
    <w:p w14:paraId="602C7182" w14:textId="0B8BEC63" w:rsidR="007F4791" w:rsidRPr="00A25F2C" w:rsidRDefault="007F4791" w:rsidP="007F4791">
      <w:pPr>
        <w:pStyle w:val="BodyText"/>
      </w:pPr>
      <w:r w:rsidRPr="00A25F2C">
        <w:t>Melbourne Water has already commenced a range of site-specific emission measurement initiatives to provide increased transparency of actual emissions</w:t>
      </w:r>
      <w:r w:rsidR="009A65B7">
        <w:t xml:space="preserve"> </w:t>
      </w:r>
      <w:r w:rsidRPr="00A25F2C">
        <w:t>and identify opportunities to reduce them. Sharing this knowledge across the industry will enable more utilities to better understand and reduce their emissions.</w:t>
      </w:r>
      <w:r w:rsidR="009A65B7">
        <w:t xml:space="preserve"> </w:t>
      </w:r>
      <w:r w:rsidRPr="00A25F2C">
        <w:t>Melbourne Water is also investigating how wastewater treatment plants can be transformed to incorporate low emissions treatment technologies.</w:t>
      </w:r>
    </w:p>
    <w:p w14:paraId="240B80A3" w14:textId="76E8C225" w:rsidR="007F4791" w:rsidRPr="00A25F2C" w:rsidRDefault="007F4791" w:rsidP="009A65B7">
      <w:pPr>
        <w:pStyle w:val="Heading4"/>
      </w:pPr>
      <w:r w:rsidRPr="00A25F2C">
        <w:t>Our long-term plan</w:t>
      </w:r>
    </w:p>
    <w:p w14:paraId="6852C315" w14:textId="77777777" w:rsidR="007F4791" w:rsidRPr="00A25F2C" w:rsidRDefault="007F4791" w:rsidP="007F4791">
      <w:pPr>
        <w:pStyle w:val="BodyText"/>
      </w:pPr>
      <w:r w:rsidRPr="00A25F2C">
        <w:t>By 2027, Melbourne Water aspires to:</w:t>
      </w:r>
    </w:p>
    <w:p w14:paraId="4A12DC9D" w14:textId="77777777" w:rsidR="007F4791" w:rsidRPr="00A25F2C" w:rsidRDefault="007F4791" w:rsidP="007F4791">
      <w:pPr>
        <w:pStyle w:val="ListBullet"/>
      </w:pPr>
      <w:r w:rsidRPr="00A25F2C">
        <w:t>meet or exceed our carbon pledge</w:t>
      </w:r>
    </w:p>
    <w:p w14:paraId="50A640A9" w14:textId="77777777" w:rsidR="007F4791" w:rsidRPr="00A25F2C" w:rsidRDefault="007F4791" w:rsidP="007F4791">
      <w:pPr>
        <w:pStyle w:val="ListBullet"/>
      </w:pPr>
      <w:r w:rsidRPr="00A25F2C">
        <w:t>have a portfolio of approaches to achieving our carbon pledge, without relying on offsets alone</w:t>
      </w:r>
    </w:p>
    <w:p w14:paraId="150B7421" w14:textId="77777777" w:rsidR="007F4791" w:rsidRPr="00A25F2C" w:rsidRDefault="007F4791" w:rsidP="007F4791">
      <w:pPr>
        <w:pStyle w:val="ListBullet"/>
      </w:pPr>
      <w:r w:rsidRPr="00A25F2C">
        <w:t>innovate to address fugitive emissions</w:t>
      </w:r>
    </w:p>
    <w:p w14:paraId="7372DC91" w14:textId="77777777" w:rsidR="007F4791" w:rsidRPr="00A25F2C" w:rsidRDefault="007F4791" w:rsidP="007F4791">
      <w:pPr>
        <w:pStyle w:val="ListBullet"/>
      </w:pPr>
      <w:r w:rsidRPr="00A25F2C">
        <w:lastRenderedPageBreak/>
        <w:t xml:space="preserve">make greater use of all resources and </w:t>
      </w:r>
      <w:proofErr w:type="gramStart"/>
      <w:r w:rsidRPr="00A25F2C">
        <w:t>by-products, and</w:t>
      </w:r>
      <w:proofErr w:type="gramEnd"/>
      <w:r w:rsidRPr="00A25F2C">
        <w:t xml:space="preserve"> continue transitioning our systems towards circularity.</w:t>
      </w:r>
    </w:p>
    <w:p w14:paraId="1884AAED" w14:textId="77777777" w:rsidR="007F4791" w:rsidRPr="00A25F2C" w:rsidRDefault="007F4791" w:rsidP="009A65B7">
      <w:pPr>
        <w:pStyle w:val="Heading5"/>
      </w:pPr>
      <w:r w:rsidRPr="00A25F2C">
        <w:t>Our path to net-zero</w:t>
      </w:r>
    </w:p>
    <w:p w14:paraId="2AF69AD6" w14:textId="1834AC52" w:rsidR="007F4791" w:rsidRPr="00A25F2C" w:rsidRDefault="007F4791" w:rsidP="007F4791">
      <w:pPr>
        <w:pStyle w:val="BodyText"/>
      </w:pPr>
      <w:r w:rsidRPr="00A25F2C">
        <w:t>Decarbonisation is one of Melbourne Water’s highest priorities.</w:t>
      </w:r>
      <w:r w:rsidR="009A65B7">
        <w:t xml:space="preserve"> </w:t>
      </w:r>
      <w:r w:rsidRPr="00A25F2C">
        <w:t xml:space="preserve">Under </w:t>
      </w:r>
      <w:r w:rsidRPr="00A25F2C">
        <w:rPr>
          <w:i/>
        </w:rPr>
        <w:t>Water for Victoria</w:t>
      </w:r>
      <w:r w:rsidRPr="00A25F2C">
        <w:t>, the Victorian water sector aims to be the leader in the state’s climate change mitigation and</w:t>
      </w:r>
      <w:r w:rsidR="009A65B7">
        <w:t xml:space="preserve"> </w:t>
      </w:r>
      <w:r w:rsidRPr="00A25F2C">
        <w:t xml:space="preserve">adaptation actions. </w:t>
      </w:r>
      <w:r w:rsidRPr="00A25F2C">
        <w:rPr>
          <w:i/>
        </w:rPr>
        <w:t xml:space="preserve">Water for Victoria </w:t>
      </w:r>
      <w:r w:rsidRPr="00A25F2C">
        <w:t>also recognises Victoria’s commitment to achieve net-zero emissions by 2050 and flows through to the water sector, committing corporations to demonstrate a pathway to net-zero emissions.</w:t>
      </w:r>
    </w:p>
    <w:p w14:paraId="519ED184" w14:textId="77777777" w:rsidR="007F4791" w:rsidRPr="00A25F2C" w:rsidRDefault="007F4791" w:rsidP="007F4791">
      <w:pPr>
        <w:pStyle w:val="BodyText"/>
      </w:pPr>
      <w:r w:rsidRPr="00A25F2C">
        <w:t>Melbourne Water is progressing our path to net zero in line with the Victorian Government’s expectations, including an action to examine accelerated progress to attain net-zero emissions by 2030. Our path to net-zero is being progressed in two stages:</w:t>
      </w:r>
    </w:p>
    <w:p w14:paraId="7415E20F" w14:textId="77777777" w:rsidR="009A65B7" w:rsidRDefault="007F4791" w:rsidP="0039634D">
      <w:pPr>
        <w:pStyle w:val="ListNumber"/>
        <w:numPr>
          <w:ilvl w:val="0"/>
          <w:numId w:val="31"/>
        </w:numPr>
      </w:pPr>
      <w:r w:rsidRPr="00A25F2C">
        <w:t>A reduction to 204,380 tonnes CO2-e by 2025 (which represents a 50 per cent reduction of our average emissions between 2011 and 2016).</w:t>
      </w:r>
    </w:p>
    <w:p w14:paraId="1609EF78" w14:textId="2EA14C09" w:rsidR="007F4791" w:rsidRPr="00A25F2C" w:rsidRDefault="007F4791" w:rsidP="0039634D">
      <w:pPr>
        <w:pStyle w:val="ListNumber"/>
        <w:numPr>
          <w:ilvl w:val="0"/>
          <w:numId w:val="31"/>
        </w:numPr>
      </w:pPr>
      <w:r w:rsidRPr="00A25F2C">
        <w:t>Achieve 100 per cent renewable energy target by 2025.</w:t>
      </w:r>
    </w:p>
    <w:p w14:paraId="163486DE" w14:textId="77777777" w:rsidR="007F4791" w:rsidRPr="00A25F2C" w:rsidRDefault="007F4791" w:rsidP="007F4791">
      <w:pPr>
        <w:pStyle w:val="BodyText"/>
      </w:pPr>
      <w:r w:rsidRPr="00A25F2C">
        <w:t>Melbourne Water is on track to achieve its target to be using 100 per cent renewable electricity by 2025 by undertaking a range of on-site renewable energy projects, supported by our existing long-term green retail electricity contract. Plans for future on-site renewable energy generation and storage will be assessed based on each site’s electrical reliability needs and a comparison to the cost of grid-sourced renewable electricity.</w:t>
      </w:r>
    </w:p>
    <w:p w14:paraId="7826B5EE" w14:textId="77777777" w:rsidR="007F4791" w:rsidRPr="00A25F2C" w:rsidRDefault="007F4791" w:rsidP="007F4791">
      <w:pPr>
        <w:pStyle w:val="BodyText"/>
      </w:pPr>
      <w:r w:rsidRPr="00A25F2C">
        <w:t>Wastewater treatment is the largest source of Melbourne Water’s direct emissions. Currently, these direct emissions are calculated using emissions factors set by the Clean Energy Regulator and are subject to change based on the state of knowledge. It is important that Melbourne Water takes a proactive approach to understanding our actual emissions and identifying where they may deviate from our reported emissions. Melbourne Water is recognised as sector leader in emissions measurement and has several long-term emission measurement projects underway.</w:t>
      </w:r>
    </w:p>
    <w:p w14:paraId="001E7003" w14:textId="77777777" w:rsidR="007F4791" w:rsidRPr="00A25F2C" w:rsidRDefault="007F4791" w:rsidP="007F4791">
      <w:pPr>
        <w:pStyle w:val="BodyText"/>
      </w:pPr>
      <w:r w:rsidRPr="00A25F2C">
        <w:t>While we build the technical and scientific knowledge required to avoid direct wastewater emissions at the source, we will be investing in high-integrity carbon offsets to help reduce our emissions in the short term. We are also exploring options to create biodiverse carbon forests in our region to help draw down carbon dioxide from the atmosphere.</w:t>
      </w:r>
    </w:p>
    <w:p w14:paraId="1553BD74" w14:textId="77777777" w:rsidR="00143D6B" w:rsidRDefault="007F4791" w:rsidP="007F4791">
      <w:pPr>
        <w:pStyle w:val="BodyText"/>
      </w:pPr>
      <w:r w:rsidRPr="00A25F2C">
        <w:t>The Eastern Treatment Plant includes a biogas facility that generates approximately 30 per cent of the electricity required each year to run the plant. In addition, our new solar farm will produce another 22 per cent, increasing on-site generation to 52 per cent.</w:t>
      </w:r>
    </w:p>
    <w:p w14:paraId="7D90C9F4" w14:textId="4FC36057" w:rsidR="007F4791" w:rsidRPr="00A25F2C" w:rsidRDefault="007F4791" w:rsidP="009A65B7">
      <w:pPr>
        <w:pStyle w:val="Heading5"/>
      </w:pPr>
      <w:r w:rsidRPr="00A25F2C">
        <w:t>Melbourne Water Energy Plan</w:t>
      </w:r>
    </w:p>
    <w:p w14:paraId="36A09D43" w14:textId="77777777" w:rsidR="007F4791" w:rsidRPr="00A25F2C" w:rsidRDefault="007F4791" w:rsidP="007F4791">
      <w:pPr>
        <w:pStyle w:val="BodyText"/>
      </w:pPr>
      <w:r w:rsidRPr="00A25F2C">
        <w:t xml:space="preserve">The </w:t>
      </w:r>
      <w:r w:rsidRPr="00A25F2C">
        <w:rPr>
          <w:i/>
        </w:rPr>
        <w:t xml:space="preserve">Melbourne Water Energy Plan </w:t>
      </w:r>
      <w:r w:rsidRPr="00A25F2C">
        <w:t xml:space="preserve">takes advantage of our unique position in resource recovery, </w:t>
      </w:r>
      <w:proofErr w:type="gramStart"/>
      <w:r w:rsidRPr="00A25F2C">
        <w:t>land</w:t>
      </w:r>
      <w:proofErr w:type="gramEnd"/>
      <w:r w:rsidRPr="00A25F2C">
        <w:t xml:space="preserve"> and other opportunities to generate and recover low carbon intensity energy and provide community benefits. The key objectives of the plan are to ensure that energy supply to our sites is resilient, reliable, </w:t>
      </w:r>
      <w:proofErr w:type="gramStart"/>
      <w:r w:rsidRPr="00A25F2C">
        <w:t>affordable</w:t>
      </w:r>
      <w:proofErr w:type="gramEnd"/>
      <w:r w:rsidRPr="00A25F2C">
        <w:t xml:space="preserve"> and renewable (clean).</w:t>
      </w:r>
    </w:p>
    <w:p w14:paraId="4ABDE47D" w14:textId="77777777" w:rsidR="007F4791" w:rsidRPr="00A25F2C" w:rsidRDefault="007F4791" w:rsidP="007F4791">
      <w:pPr>
        <w:pStyle w:val="BodyText"/>
      </w:pPr>
      <w:r w:rsidRPr="00A25F2C">
        <w:t xml:space="preserve">Existing projects and infrastructure to support these goals include our biogas power plants operating at the Eastern and Western treatment plants, </w:t>
      </w:r>
      <w:proofErr w:type="gramStart"/>
      <w:r w:rsidRPr="00A25F2C">
        <w:t>mini-hydros</w:t>
      </w:r>
      <w:proofErr w:type="gramEnd"/>
      <w:r w:rsidRPr="00A25F2C">
        <w:t xml:space="preserve"> in the water treatment network, and large-scale solar at the Eastern Treatment Plant and Winneke.</w:t>
      </w:r>
    </w:p>
    <w:p w14:paraId="71F35E62" w14:textId="77777777" w:rsidR="007F4791" w:rsidRPr="00A25F2C" w:rsidRDefault="007F4791" w:rsidP="009A65B7">
      <w:pPr>
        <w:pStyle w:val="Heading5"/>
      </w:pPr>
      <w:r w:rsidRPr="00A25F2C">
        <w:t>Growing Carbon pilot project</w:t>
      </w:r>
    </w:p>
    <w:p w14:paraId="5384760D" w14:textId="0E377538" w:rsidR="007F4791" w:rsidRPr="00A25F2C" w:rsidRDefault="007F4791" w:rsidP="007F4791">
      <w:pPr>
        <w:pStyle w:val="BodyText"/>
      </w:pPr>
      <w:r w:rsidRPr="00A25F2C">
        <w:t xml:space="preserve">Building on the commitments of the former </w:t>
      </w:r>
      <w:r w:rsidR="00E23BDC">
        <w:t>Port Phillip Westernport Catchment Management Authority</w:t>
      </w:r>
      <w:r w:rsidRPr="00A25F2C">
        <w:t xml:space="preserve">, Melbourne Water will also champion the work underway to partner with water corporations across the region to deliver additional revegetation projects across private and public lands. These programs will result in </w:t>
      </w:r>
      <w:r w:rsidRPr="00A25F2C">
        <w:lastRenderedPageBreak/>
        <w:t xml:space="preserve">carbon offsets and create significant environmental and community benefits. Improvement in the extent, diversity, </w:t>
      </w:r>
      <w:proofErr w:type="gramStart"/>
      <w:r w:rsidRPr="00A25F2C">
        <w:t>quality</w:t>
      </w:r>
      <w:proofErr w:type="gramEnd"/>
      <w:r w:rsidRPr="00A25F2C">
        <w:t xml:space="preserve"> and</w:t>
      </w:r>
      <w:r w:rsidR="009A65B7">
        <w:t xml:space="preserve"> </w:t>
      </w:r>
      <w:r w:rsidRPr="00A25F2C">
        <w:t>connectedness of the native vegetation is important to ensuring it is resilient when threatened or affected by fire, disease, climate change, pest invasion or other issues. The Growing Carbon pilot project will establish native vegetation for carbon credits while achieving additional environmental benefits.</w:t>
      </w:r>
    </w:p>
    <w:p w14:paraId="1BB1BC52" w14:textId="77777777" w:rsidR="007F4791" w:rsidRPr="00A25F2C" w:rsidRDefault="007F4791" w:rsidP="009A65B7">
      <w:pPr>
        <w:pStyle w:val="Heading5"/>
      </w:pPr>
      <w:r w:rsidRPr="00A25F2C">
        <w:t>Managing the increased effects of flooding due to climate change</w:t>
      </w:r>
    </w:p>
    <w:p w14:paraId="0C926956" w14:textId="77777777" w:rsidR="007F4791" w:rsidRPr="00A25F2C" w:rsidRDefault="007F4791" w:rsidP="007F4791">
      <w:pPr>
        <w:pStyle w:val="BodyText"/>
      </w:pPr>
      <w:r w:rsidRPr="00A25F2C">
        <w:t>Climate change contributes to a greater flood risk due to rising sea levels and more frequent and intense storm events. As our city expands and our population increases, more stormwater runs off roofs and roads. Melbourne Water will continue our work to reduce flood risk and the impacts to those most at risk, while also building climate adaptation into our approach.</w:t>
      </w:r>
    </w:p>
    <w:p w14:paraId="103C5079" w14:textId="3A4E51B4" w:rsidR="007F4791" w:rsidRPr="00A25F2C" w:rsidRDefault="007F4791" w:rsidP="007F4791">
      <w:pPr>
        <w:pStyle w:val="BodyText"/>
      </w:pPr>
      <w:r w:rsidRPr="00A25F2C">
        <w:t>In response to the October 2022 Maribyrnong River flood, Melbourne Water is supporting the independent review to further understand the event from multiple perspectives, and hear directly from the communities, businesses and organisations that were impacted. We are committed to</w:t>
      </w:r>
      <w:r w:rsidR="009A65B7">
        <w:t xml:space="preserve"> </w:t>
      </w:r>
      <w:r w:rsidRPr="00A25F2C">
        <w:t>working with relevant agencies to identify lessons learned and embed any insights from the event into how we deliver our services.</w:t>
      </w:r>
    </w:p>
    <w:p w14:paraId="74E7E0B6" w14:textId="77777777" w:rsidR="007F4791" w:rsidRPr="00A25F2C" w:rsidRDefault="007F4791" w:rsidP="007F4791">
      <w:pPr>
        <w:pStyle w:val="BodyText"/>
      </w:pPr>
      <w:r w:rsidRPr="00A25F2C">
        <w:t>While we wait for outcomes of the independent review, we are already taking actions, including:</w:t>
      </w:r>
    </w:p>
    <w:p w14:paraId="7EA48D24" w14:textId="77777777" w:rsidR="007F4791" w:rsidRPr="00A25F2C" w:rsidRDefault="007F4791" w:rsidP="007F4791">
      <w:pPr>
        <w:pStyle w:val="ListBullet"/>
      </w:pPr>
      <w:r w:rsidRPr="00A25F2C">
        <w:t>using data from the flood event to update the Maribyrnong River flood models</w:t>
      </w:r>
    </w:p>
    <w:p w14:paraId="09C794FE" w14:textId="77777777" w:rsidR="007F4791" w:rsidRPr="00A25F2C" w:rsidRDefault="007F4791" w:rsidP="00F13D2F">
      <w:pPr>
        <w:pStyle w:val="ListBullet"/>
        <w:numPr>
          <w:ilvl w:val="0"/>
          <w:numId w:val="26"/>
        </w:numPr>
      </w:pPr>
      <w:r w:rsidRPr="00A25F2C">
        <w:t>reviewing the rating tables for the Maribyrnong River and the rest of our network to identify and address where there may be other similar risks</w:t>
      </w:r>
    </w:p>
    <w:p w14:paraId="48AB91F0" w14:textId="77777777" w:rsidR="007F4791" w:rsidRPr="00A25F2C" w:rsidRDefault="007F4791" w:rsidP="007F4791">
      <w:pPr>
        <w:pStyle w:val="ListBullet"/>
      </w:pPr>
      <w:r w:rsidRPr="00A25F2C">
        <w:t>building deeper partnerships with other agencies with associated responsibilities for floodplain management to strengthen community awareness and preparedness for flood events.</w:t>
      </w:r>
    </w:p>
    <w:p w14:paraId="790A90D5" w14:textId="5A6CF05D" w:rsidR="007F4791" w:rsidRPr="00A25F2C" w:rsidRDefault="007F4791" w:rsidP="009A65B7">
      <w:pPr>
        <w:pStyle w:val="Heading5"/>
      </w:pPr>
      <w:r w:rsidRPr="00A25F2C">
        <w:t>Coastal hazard advice and Melbourne Water asset risks</w:t>
      </w:r>
    </w:p>
    <w:p w14:paraId="675F7E00" w14:textId="1A7AC558" w:rsidR="007F4791" w:rsidRPr="00A25F2C" w:rsidRDefault="007F4791" w:rsidP="007F4791">
      <w:pPr>
        <w:pStyle w:val="BodyText"/>
      </w:pPr>
      <w:r w:rsidRPr="00A25F2C">
        <w:t>As floodplain manager, Melbourne Water provides sea level rise advice to protect future development from the impacts of increased coastal inundation resulting from climate change.</w:t>
      </w:r>
      <w:r w:rsidR="009A65B7">
        <w:t xml:space="preserve"> </w:t>
      </w:r>
      <w:r w:rsidRPr="00A25F2C">
        <w:t xml:space="preserve">In response to evolving climate science scenarios, Melbourne Water is updating our advice through the </w:t>
      </w:r>
      <w:r w:rsidRPr="00A25F2C">
        <w:rPr>
          <w:i/>
        </w:rPr>
        <w:t xml:space="preserve">Planning for Sea Level Rise Guidelines </w:t>
      </w:r>
      <w:r w:rsidRPr="00A25F2C">
        <w:t>to account for future changes in policy and planning benchmarks.</w:t>
      </w:r>
    </w:p>
    <w:p w14:paraId="5571AC80" w14:textId="77777777" w:rsidR="007F4791" w:rsidRPr="00A25F2C" w:rsidRDefault="007F4791" w:rsidP="007F4791">
      <w:pPr>
        <w:pStyle w:val="BodyText"/>
      </w:pPr>
      <w:r w:rsidRPr="00A25F2C">
        <w:t>Coastal hazards are also a risk to Melbourne Water’s own assets, most notably the Western Treatment Plant. Melbourne Water is working with a range of stakeholders and agencies across Port Phillip Bay to understand if and where adaptation actions could be applied to ensure continued treatment and recycled water services, and to support biodiversity values.</w:t>
      </w:r>
    </w:p>
    <w:p w14:paraId="04F396ED" w14:textId="77777777" w:rsidR="007F4791" w:rsidRPr="00A25F2C" w:rsidRDefault="007F4791" w:rsidP="009A65B7">
      <w:pPr>
        <w:pStyle w:val="Heading4"/>
      </w:pPr>
      <w:r w:rsidRPr="00A25F2C">
        <w:t>The year ahead</w:t>
      </w:r>
    </w:p>
    <w:p w14:paraId="0FF1AF35" w14:textId="77777777" w:rsidR="007F4791" w:rsidRPr="00A25F2C" w:rsidRDefault="007F4791" w:rsidP="007F4791">
      <w:pPr>
        <w:pStyle w:val="BodyText"/>
      </w:pPr>
      <w:r w:rsidRPr="00A25F2C">
        <w:t>We will build our understanding of the risks posed by coastal erosion and inundation for Melbourne Water’s assets within the coastal zone. This will be enabled through findings from the Port Phillip Bay Coastal Hazard Assessment and the Western Port Coastal Hazard Assessment, and assessment of the consequences associated with Melbourne Water’s impacted assets.</w:t>
      </w:r>
    </w:p>
    <w:p w14:paraId="45DB4511" w14:textId="77777777" w:rsidR="007F4791" w:rsidRPr="00A25F2C" w:rsidRDefault="007F4791" w:rsidP="007F4791">
      <w:pPr>
        <w:pStyle w:val="BodyText"/>
      </w:pPr>
      <w:r w:rsidRPr="00A25F2C">
        <w:t xml:space="preserve">We will update our </w:t>
      </w:r>
      <w:r w:rsidRPr="00A25F2C">
        <w:rPr>
          <w:i/>
        </w:rPr>
        <w:t xml:space="preserve">Planning for Sea Level Rise Guidelines </w:t>
      </w:r>
      <w:r w:rsidRPr="00A25F2C">
        <w:t>to include new climate change scenarios and risk-based considerations.</w:t>
      </w:r>
    </w:p>
    <w:p w14:paraId="07F57B97" w14:textId="77777777" w:rsidR="007F4791" w:rsidRPr="00A25F2C" w:rsidRDefault="007F4791" w:rsidP="007F4791">
      <w:pPr>
        <w:pStyle w:val="BodyText"/>
      </w:pPr>
      <w:r w:rsidRPr="00A25F2C">
        <w:t xml:space="preserve">We will work closely with our stakeholders to inform new policy and build an appropriate enabling environment for climate responses and future resilience through knowledge, </w:t>
      </w:r>
      <w:proofErr w:type="gramStart"/>
      <w:r w:rsidRPr="00A25F2C">
        <w:t>values</w:t>
      </w:r>
      <w:proofErr w:type="gramEnd"/>
      <w:r w:rsidRPr="00A25F2C">
        <w:t xml:space="preserve"> and clear rules.</w:t>
      </w:r>
    </w:p>
    <w:p w14:paraId="6F92FE3C" w14:textId="77777777" w:rsidR="007F4791" w:rsidRPr="00A25F2C" w:rsidRDefault="007F4791" w:rsidP="007F4791">
      <w:pPr>
        <w:pStyle w:val="BodyText"/>
      </w:pPr>
      <w:r w:rsidRPr="00A25F2C">
        <w:t xml:space="preserve">We will continue our research program and investment in our assets to build system resilience to the impacts of events such as fire, </w:t>
      </w:r>
      <w:proofErr w:type="gramStart"/>
      <w:r w:rsidRPr="00A25F2C">
        <w:t>drought</w:t>
      </w:r>
      <w:proofErr w:type="gramEnd"/>
      <w:r w:rsidRPr="00A25F2C">
        <w:t xml:space="preserve"> and extreme rainfall.</w:t>
      </w:r>
    </w:p>
    <w:p w14:paraId="75302E58" w14:textId="77777777" w:rsidR="007F4791" w:rsidRDefault="007F4791" w:rsidP="00FC6283">
      <w:pPr>
        <w:pStyle w:val="BodyText"/>
        <w:keepNext/>
        <w:rPr>
          <w:b/>
        </w:rPr>
      </w:pPr>
      <w:r w:rsidRPr="00A25F2C">
        <w:rPr>
          <w:b/>
        </w:rPr>
        <w:lastRenderedPageBreak/>
        <w:t>Delivering on</w:t>
      </w:r>
    </w:p>
    <w:p w14:paraId="38BC3259" w14:textId="261D8B57" w:rsidR="00025489" w:rsidRPr="00025489" w:rsidRDefault="00025489" w:rsidP="00025489">
      <w:pPr>
        <w:pStyle w:val="ListBullet"/>
      </w:pPr>
      <w:r w:rsidRPr="00025489">
        <w:t>Sustainable Development Goal 3: Good Health and Well-being</w:t>
      </w:r>
    </w:p>
    <w:p w14:paraId="26E459E0" w14:textId="387695B9" w:rsidR="00025489" w:rsidRPr="00025489" w:rsidRDefault="00025489" w:rsidP="00025489">
      <w:pPr>
        <w:pStyle w:val="ListBullet"/>
      </w:pPr>
      <w:r w:rsidRPr="00025489">
        <w:t>Sustainable Development Goal 6: Clean Water and Sanitation</w:t>
      </w:r>
    </w:p>
    <w:p w14:paraId="21589C2D" w14:textId="090DB54E" w:rsidR="00025489" w:rsidRPr="00025489" w:rsidRDefault="00025489" w:rsidP="00025489">
      <w:pPr>
        <w:pStyle w:val="ListBullet"/>
      </w:pPr>
      <w:r w:rsidRPr="00025489">
        <w:t>Sustainable Development Goal 11: Sustainable Cities and Communities</w:t>
      </w:r>
    </w:p>
    <w:p w14:paraId="5F6C2DDB" w14:textId="5715719F" w:rsidR="00025489" w:rsidRPr="00025489" w:rsidRDefault="00025489" w:rsidP="00025489">
      <w:pPr>
        <w:pStyle w:val="ListBullet"/>
      </w:pPr>
      <w:r w:rsidRPr="00025489">
        <w:t>Sustainable Development Goal 12: Responsible Consumption and Production</w:t>
      </w:r>
    </w:p>
    <w:p w14:paraId="54281DA6" w14:textId="6E3362EC" w:rsidR="00025489" w:rsidRPr="00025489" w:rsidRDefault="00025489" w:rsidP="00025489">
      <w:pPr>
        <w:pStyle w:val="ListBullet"/>
      </w:pPr>
      <w:r w:rsidRPr="00025489">
        <w:t>Sustainable Development Goal 13: Climate Action</w:t>
      </w:r>
    </w:p>
    <w:p w14:paraId="22064325" w14:textId="3C2310DE" w:rsidR="00025489" w:rsidRPr="00025489" w:rsidRDefault="00025489" w:rsidP="00025489">
      <w:pPr>
        <w:pStyle w:val="ListBullet"/>
      </w:pPr>
      <w:r w:rsidRPr="00025489">
        <w:t>Sustainable Development Goal 14: Life Below Water</w:t>
      </w:r>
    </w:p>
    <w:p w14:paraId="2990C90D" w14:textId="5D2AA8E6" w:rsidR="00025489" w:rsidRPr="00A25F2C" w:rsidRDefault="00025489" w:rsidP="00025489">
      <w:pPr>
        <w:pStyle w:val="ListBullet"/>
      </w:pPr>
      <w:r w:rsidRPr="00025489">
        <w:t xml:space="preserve">Sustainable Development Goal 15: Life </w:t>
      </w:r>
      <w:proofErr w:type="gramStart"/>
      <w:r w:rsidRPr="00025489">
        <w:t>On</w:t>
      </w:r>
      <w:proofErr w:type="gramEnd"/>
      <w:r w:rsidRPr="00025489">
        <w:t xml:space="preserve"> Land</w:t>
      </w:r>
    </w:p>
    <w:p w14:paraId="3EFE2A52" w14:textId="4218238D" w:rsidR="00143D6B" w:rsidRDefault="007F4791" w:rsidP="00FC6283">
      <w:pPr>
        <w:pStyle w:val="GreyBox"/>
      </w:pPr>
      <w:r w:rsidRPr="00A25F2C">
        <w:t>Water for Victoria chapter</w:t>
      </w:r>
      <w:r w:rsidR="009A65B7">
        <w:t xml:space="preserve"> </w:t>
      </w:r>
      <w:r w:rsidRPr="00A25F2C">
        <w:t>2</w:t>
      </w:r>
      <w:r w:rsidR="00FC6283">
        <w:t>.</w:t>
      </w:r>
    </w:p>
    <w:p w14:paraId="5A175FFC" w14:textId="48F6CC08" w:rsidR="007F4791" w:rsidRPr="00A25F2C" w:rsidRDefault="007F4791" w:rsidP="007F4791">
      <w:pPr>
        <w:pStyle w:val="Heading2"/>
      </w:pPr>
      <w:bookmarkStart w:id="32" w:name="_Toc147756880"/>
      <w:r w:rsidRPr="00A25F2C">
        <w:t xml:space="preserve">Water for Aboriginal cultural, </w:t>
      </w:r>
      <w:proofErr w:type="gramStart"/>
      <w:r w:rsidRPr="00A25F2C">
        <w:t>spiritual</w:t>
      </w:r>
      <w:proofErr w:type="gramEnd"/>
      <w:r w:rsidRPr="00A25F2C">
        <w:t xml:space="preserve"> and economic values</w:t>
      </w:r>
      <w:bookmarkEnd w:id="32"/>
    </w:p>
    <w:p w14:paraId="4DCA1CCA" w14:textId="77777777" w:rsidR="007F4791" w:rsidRPr="00A25F2C" w:rsidRDefault="007F4791" w:rsidP="009A65B7">
      <w:pPr>
        <w:pStyle w:val="Heading3"/>
      </w:pPr>
      <w:bookmarkStart w:id="33" w:name="_Toc147756881"/>
      <w:r w:rsidRPr="00A25F2C">
        <w:t>What we do now</w:t>
      </w:r>
      <w:bookmarkEnd w:id="33"/>
    </w:p>
    <w:p w14:paraId="5DBF4DD8" w14:textId="77777777" w:rsidR="007F4791" w:rsidRPr="00A25F2C" w:rsidRDefault="007F4791" w:rsidP="009A65B7">
      <w:pPr>
        <w:pStyle w:val="Heading4"/>
      </w:pPr>
      <w:r w:rsidRPr="00A25F2C">
        <w:t>Co-designing formal commitments</w:t>
      </w:r>
    </w:p>
    <w:p w14:paraId="0F1A36DB" w14:textId="77777777" w:rsidR="007F4791" w:rsidRPr="00A25F2C" w:rsidRDefault="007F4791" w:rsidP="007F4791">
      <w:pPr>
        <w:pStyle w:val="BodyText"/>
      </w:pPr>
      <w:r w:rsidRPr="00A25F2C">
        <w:t>Melbourne Water signed a Partnership Agreement with Gunaikurnai in 2022 and we aim to sign formal partnerships with Wadawurrung and Wurundjeri Woi wurrung, and Wandoon Estate in 2023. We will also further our work towards formal commitments with Bunurong and Taungurung.</w:t>
      </w:r>
    </w:p>
    <w:p w14:paraId="7BB72BCC" w14:textId="77777777" w:rsidR="007F4791" w:rsidRPr="00A25F2C" w:rsidRDefault="007F4791" w:rsidP="007F4791">
      <w:pPr>
        <w:pStyle w:val="BodyText"/>
      </w:pPr>
      <w:r w:rsidRPr="00A25F2C">
        <w:t xml:space="preserve">Through structured planning discussions we have collectively determined priorities, which allow Traditional Owners to decide on their priority focus, supporting active participation in planning and management action on land, </w:t>
      </w:r>
      <w:proofErr w:type="gramStart"/>
      <w:r w:rsidRPr="00A25F2C">
        <w:t>waterways</w:t>
      </w:r>
      <w:proofErr w:type="gramEnd"/>
      <w:r w:rsidRPr="00A25F2C">
        <w:t xml:space="preserve"> and sea. Funding is available to Traditional Owners to deliver self- determined projects.</w:t>
      </w:r>
    </w:p>
    <w:p w14:paraId="64621939" w14:textId="337CF2CE" w:rsidR="007F4791" w:rsidRPr="00A25F2C" w:rsidRDefault="007F4791" w:rsidP="007F4791">
      <w:pPr>
        <w:pStyle w:val="BodyText"/>
      </w:pPr>
      <w:r w:rsidRPr="00A25F2C">
        <w:t xml:space="preserve">Traditional Owners provide insights and expertise through the maintenance of formal agreements and in the planning and management of water as part of the delivery of </w:t>
      </w:r>
      <w:r w:rsidRPr="00A25F2C">
        <w:rPr>
          <w:i/>
        </w:rPr>
        <w:t xml:space="preserve">Water Is Life </w:t>
      </w:r>
      <w:r w:rsidRPr="00A25F2C">
        <w:t xml:space="preserve">and through advocacy across the water sector. Recent policy and strategy </w:t>
      </w:r>
      <w:proofErr w:type="gramStart"/>
      <w:r w:rsidRPr="00A25F2C">
        <w:t>seeks</w:t>
      </w:r>
      <w:proofErr w:type="gramEnd"/>
      <w:r w:rsidRPr="00A25F2C">
        <w:t xml:space="preserve"> to acknowledge and address the historic water injustices for Traditional Owners, who have long been excluded from water management decisions and water ownership in Victoria. This means more water can be left in rivers to deliver on environmental outcomes and Traditional Owner values.</w:t>
      </w:r>
      <w:r w:rsidR="009A65B7">
        <w:t xml:space="preserve"> </w:t>
      </w:r>
      <w:r w:rsidRPr="00A25F2C">
        <w:t>A share of future manufactured water capacity will also contribute to these outcomes and values.</w:t>
      </w:r>
    </w:p>
    <w:p w14:paraId="226E7A5F" w14:textId="77777777" w:rsidR="007F4791" w:rsidRPr="00A25F2C" w:rsidRDefault="007F4791" w:rsidP="007F4791">
      <w:pPr>
        <w:pStyle w:val="BodyText"/>
      </w:pPr>
      <w:r w:rsidRPr="00A25F2C">
        <w:t xml:space="preserve">Melbourne Water has made significant gains in our </w:t>
      </w:r>
      <w:r w:rsidRPr="00A25F2C">
        <w:rPr>
          <w:i/>
        </w:rPr>
        <w:t xml:space="preserve">Social Procurement Plan </w:t>
      </w:r>
      <w:r w:rsidRPr="00A25F2C">
        <w:t>over the past five years. To increase the ability of our staff to make decisions that support the plan, we promote Victorian Aboriginal businesses across our own, building staff capacity to understand supplier diversity and embed policies and procedures to promote the use of these businesses.</w:t>
      </w:r>
    </w:p>
    <w:p w14:paraId="16C8E499" w14:textId="068B43F3" w:rsidR="007F4791" w:rsidRPr="00A25F2C" w:rsidRDefault="007F4791" w:rsidP="007F4791">
      <w:pPr>
        <w:pStyle w:val="BodyText"/>
      </w:pPr>
      <w:r w:rsidRPr="00A25F2C">
        <w:t xml:space="preserve">Most recently, we have established a Field Services Panel to provide </w:t>
      </w:r>
      <w:proofErr w:type="gramStart"/>
      <w:r w:rsidRPr="00A25F2C">
        <w:t>a number of</w:t>
      </w:r>
      <w:proofErr w:type="gramEnd"/>
      <w:r w:rsidRPr="00A25F2C">
        <w:t xml:space="preserve"> services such as natural resource management, weed control, mowing, planting, landscaping and fencing services. Services in this panel will be provided</w:t>
      </w:r>
      <w:r w:rsidR="009A65B7">
        <w:t xml:space="preserve"> </w:t>
      </w:r>
      <w:r w:rsidRPr="00A25F2C">
        <w:t>by the Wurundjeri Woi-wurrung Cultural Heritage Aboriginal Corporation. Suppliers in the Field Services Panel have contractual commitments to indirectly provide employment opportunities for Aboriginal peoples or to allocate a percentage of their spend to Aboriginal businesses. Melbourne Water has also entered into an agreement with Programmed Facility Management for infrastructure maintenance. This agreement includes commitments to employ Aboriginal peoples and to allocate spend with Aboriginal businesses.</w:t>
      </w:r>
    </w:p>
    <w:p w14:paraId="33F66D91" w14:textId="204E1859" w:rsidR="007F4791" w:rsidRPr="00A25F2C" w:rsidRDefault="007F4791" w:rsidP="007F4791">
      <w:pPr>
        <w:pStyle w:val="BodyText"/>
      </w:pPr>
      <w:r w:rsidRPr="00A25F2C">
        <w:t>Our procurement team also works with Kinaway, the Victorian Aboriginal Chamber of Commerce, to link its members with opportunities across our supply chain and will continue to offer mentoring support to Kinaway members.</w:t>
      </w:r>
    </w:p>
    <w:p w14:paraId="0FD61F0F" w14:textId="77777777" w:rsidR="007F4791" w:rsidRPr="00A25F2C" w:rsidRDefault="007F4791" w:rsidP="007F4791">
      <w:pPr>
        <w:pStyle w:val="BodyText"/>
      </w:pPr>
      <w:r w:rsidRPr="00A25F2C">
        <w:lastRenderedPageBreak/>
        <w:t xml:space="preserve">Implementing our </w:t>
      </w:r>
      <w:r w:rsidRPr="00A25F2C">
        <w:rPr>
          <w:i/>
        </w:rPr>
        <w:t xml:space="preserve">Social Procurement Plan </w:t>
      </w:r>
      <w:r w:rsidRPr="00A25F2C">
        <w:t>has led to a significant increase in our Traditional Owner organisation and Aboriginal business spend, from approximately $200,000 in 2018 to over $1.5 million in 2021. As of February 2023, we had spent $1,196,058 in the current financial year.</w:t>
      </w:r>
    </w:p>
    <w:p w14:paraId="24722B96" w14:textId="77777777" w:rsidR="007F4791" w:rsidRPr="00A25F2C" w:rsidRDefault="007F4791" w:rsidP="007F4791">
      <w:pPr>
        <w:pStyle w:val="BodyText"/>
      </w:pPr>
      <w:r w:rsidRPr="00A25F2C">
        <w:t xml:space="preserve">We have recently updated our Procurement Policy to elevate our commitment to increase participation of Aboriginal businesses in our supplier base, enhance our social footprint through supplier diversity and foster sustainable initiatives. Subsequently, we will continue to review our </w:t>
      </w:r>
      <w:r w:rsidRPr="00A25F2C">
        <w:rPr>
          <w:i/>
        </w:rPr>
        <w:t xml:space="preserve">Social Procurement Strategy </w:t>
      </w:r>
      <w:r w:rsidRPr="00A25F2C">
        <w:t>and our systems to increase the ability of our staff to provide opportunities to Social Benefit Suppliers.</w:t>
      </w:r>
    </w:p>
    <w:p w14:paraId="4AFEE89E" w14:textId="77777777" w:rsidR="007F4791" w:rsidRPr="00A25F2C" w:rsidRDefault="007F4791" w:rsidP="007F4791">
      <w:pPr>
        <w:pStyle w:val="BodyText"/>
      </w:pPr>
      <w:r w:rsidRPr="00A25F2C">
        <w:t>Through spend analysis, Melbourne Water has identified preliminary opportunities to directly engage Aboriginal businesses. These opportunities will be further developed in the 2023-24 period.</w:t>
      </w:r>
    </w:p>
    <w:p w14:paraId="302EC80C" w14:textId="77777777" w:rsidR="007F4791" w:rsidRPr="00A25F2C" w:rsidRDefault="007F4791" w:rsidP="007F4791">
      <w:pPr>
        <w:pStyle w:val="BodyText"/>
      </w:pPr>
      <w:r w:rsidRPr="00A25F2C">
        <w:t xml:space="preserve">To progress towards our strategic goal outcomes, Melbourne Water will focus on the recruitment, </w:t>
      </w:r>
      <w:proofErr w:type="gramStart"/>
      <w:r w:rsidRPr="00A25F2C">
        <w:t>wellbeing</w:t>
      </w:r>
      <w:proofErr w:type="gramEnd"/>
      <w:r w:rsidRPr="00A25F2C">
        <w:t xml:space="preserve"> and retention of Aboriginal and Torres Strait Islander staff. We are also taking steps to build a more inclusive recruitment process to increase engagement and attract higher numbers of Aboriginal and Torres Strait Islander candidates.</w:t>
      </w:r>
    </w:p>
    <w:p w14:paraId="0DBD3540" w14:textId="77777777" w:rsidR="007F4791" w:rsidRPr="00A25F2C" w:rsidRDefault="007F4791" w:rsidP="007F4791">
      <w:pPr>
        <w:pStyle w:val="BodyText"/>
      </w:pPr>
      <w:r w:rsidRPr="00A25F2C">
        <w:t xml:space="preserve">Melbourne Water’s </w:t>
      </w:r>
      <w:r w:rsidRPr="00A25F2C">
        <w:rPr>
          <w:i/>
        </w:rPr>
        <w:t xml:space="preserve">Cultural Training Plan </w:t>
      </w:r>
      <w:r w:rsidRPr="00A25F2C">
        <w:t xml:space="preserve">aims to extend our employees’ knowledge and awareness of Aboriginal and Torres Strait Islander history, </w:t>
      </w:r>
      <w:proofErr w:type="gramStart"/>
      <w:r w:rsidRPr="00A25F2C">
        <w:t>peoples</w:t>
      </w:r>
      <w:proofErr w:type="gramEnd"/>
      <w:r w:rsidRPr="00A25F2C">
        <w:t xml:space="preserve"> and communities through a three-tiered training approach:</w:t>
      </w:r>
    </w:p>
    <w:p w14:paraId="2EB09744" w14:textId="77777777" w:rsidR="007F4791" w:rsidRPr="00A25F2C" w:rsidRDefault="007F4791" w:rsidP="00F13D2F">
      <w:pPr>
        <w:pStyle w:val="ListNumber"/>
        <w:numPr>
          <w:ilvl w:val="0"/>
          <w:numId w:val="25"/>
        </w:numPr>
      </w:pPr>
      <w:r w:rsidRPr="00A25F2C">
        <w:t>Foundational training comprising an on-boarding eLearn module.</w:t>
      </w:r>
    </w:p>
    <w:p w14:paraId="47A7DC53" w14:textId="77777777" w:rsidR="007F4791" w:rsidRPr="00A25F2C" w:rsidRDefault="007F4791" w:rsidP="007F4791">
      <w:pPr>
        <w:pStyle w:val="ListNumber"/>
      </w:pPr>
      <w:r w:rsidRPr="00A25F2C">
        <w:t>Interactive workshops through service providers, such as the Koorie Heritage Trust.</w:t>
      </w:r>
    </w:p>
    <w:p w14:paraId="0DBC4714" w14:textId="77777777" w:rsidR="007F4791" w:rsidRPr="00A25F2C" w:rsidRDefault="007F4791" w:rsidP="007F4791">
      <w:pPr>
        <w:pStyle w:val="ListNumber"/>
      </w:pPr>
      <w:r w:rsidRPr="00A25F2C">
        <w:t>On-Country training delivered by Traditional Owners.</w:t>
      </w:r>
    </w:p>
    <w:p w14:paraId="0AFF8576" w14:textId="77777777" w:rsidR="007F4791" w:rsidRPr="00A25F2C" w:rsidRDefault="007F4791" w:rsidP="007F4791">
      <w:pPr>
        <w:pStyle w:val="BodyText"/>
      </w:pPr>
      <w:r w:rsidRPr="00A25F2C">
        <w:t xml:space="preserve">As of February 2023, over 1100 Melbourne Water employees have at least begun tier one of the </w:t>
      </w:r>
      <w:r w:rsidRPr="00A25F2C">
        <w:rPr>
          <w:i/>
        </w:rPr>
        <w:t>Cultural Training Plan</w:t>
      </w:r>
      <w:r w:rsidRPr="00A25F2C">
        <w:t>, with over 900 either finished or part finished the full program.</w:t>
      </w:r>
    </w:p>
    <w:p w14:paraId="1E51326C" w14:textId="77777777" w:rsidR="00143D6B" w:rsidRDefault="007F4791" w:rsidP="007F4791">
      <w:pPr>
        <w:pStyle w:val="BodyText"/>
      </w:pPr>
      <w:r w:rsidRPr="00A25F2C">
        <w:t>In addition, Melbourne Water’s Board members completed a Level 3 Wurundjeri training in 2022 and is planning another session with Wadawurrung in 2023.</w:t>
      </w:r>
    </w:p>
    <w:p w14:paraId="06B56533" w14:textId="68ABB525" w:rsidR="007F4791" w:rsidRPr="00A25F2C" w:rsidRDefault="007F4791" w:rsidP="009A65B7">
      <w:pPr>
        <w:pStyle w:val="Heading4"/>
      </w:pPr>
      <w:r w:rsidRPr="00A25F2C">
        <w:t>Supporting recruitment and training</w:t>
      </w:r>
    </w:p>
    <w:p w14:paraId="77F80FE5" w14:textId="77777777" w:rsidR="007F4791" w:rsidRPr="00A25F2C" w:rsidRDefault="007F4791" w:rsidP="007F4791">
      <w:pPr>
        <w:pStyle w:val="BodyText"/>
      </w:pPr>
      <w:r w:rsidRPr="00A25F2C">
        <w:t>Melbourne Water takes steps to build a more inclusive recruitment process, which increases engagement and attracts higher numbers of Aboriginal and Torres Strait Islanders to our business.</w:t>
      </w:r>
    </w:p>
    <w:p w14:paraId="0286B124" w14:textId="77777777" w:rsidR="007F4791" w:rsidRPr="00A25F2C" w:rsidRDefault="007F4791" w:rsidP="007F4791">
      <w:pPr>
        <w:pStyle w:val="BodyText"/>
      </w:pPr>
      <w:r w:rsidRPr="00A25F2C">
        <w:t>Recent additions include:</w:t>
      </w:r>
    </w:p>
    <w:p w14:paraId="044669C1" w14:textId="77777777" w:rsidR="007F4791" w:rsidRPr="00A25F2C" w:rsidRDefault="007F4791" w:rsidP="009A65B7">
      <w:pPr>
        <w:pStyle w:val="ListBullet"/>
      </w:pPr>
      <w:r w:rsidRPr="00A25F2C">
        <w:t>acknowledgment of Country spoken at the beginning of each interview</w:t>
      </w:r>
    </w:p>
    <w:p w14:paraId="1C53C305" w14:textId="77777777" w:rsidR="007F4791" w:rsidRPr="00A25F2C" w:rsidRDefault="007F4791" w:rsidP="009A65B7">
      <w:pPr>
        <w:pStyle w:val="ListBullet"/>
      </w:pPr>
      <w:r w:rsidRPr="00A25F2C">
        <w:t>updates to all recruitment campaigns to improve alignment with identified peoples and their lived experience</w:t>
      </w:r>
    </w:p>
    <w:p w14:paraId="546D603C" w14:textId="77777777" w:rsidR="007F4791" w:rsidRPr="00A25F2C" w:rsidRDefault="007F4791" w:rsidP="009A65B7">
      <w:pPr>
        <w:pStyle w:val="ListBullet"/>
      </w:pPr>
      <w:r w:rsidRPr="00A25F2C">
        <w:t>additional support and guidance throughout the recruitment process for identified Aboriginal and Torres Strait Islander peoples, including pre-screening interview, presentation to the hiring manager, guidance around role suitability and pre- interview support.</w:t>
      </w:r>
    </w:p>
    <w:p w14:paraId="0311CF0E" w14:textId="77777777" w:rsidR="007F4791" w:rsidRDefault="007F4791" w:rsidP="007F4791">
      <w:pPr>
        <w:pStyle w:val="BodyText"/>
      </w:pPr>
      <w:r w:rsidRPr="00A25F2C">
        <w:t>Melbourne Water works closely with all 11 agencies on our Recruitment Selection Panel to support our investment in Indigenous recruitment, which includes provision of shortlisted candidates who identify as Indigenous.</w:t>
      </w:r>
    </w:p>
    <w:p w14:paraId="681C574E" w14:textId="77777777" w:rsidR="009A65B7" w:rsidRPr="00A25F2C" w:rsidRDefault="009A65B7" w:rsidP="009A65B7">
      <w:pPr>
        <w:pStyle w:val="Heading3"/>
      </w:pPr>
      <w:bookmarkStart w:id="34" w:name="_Toc147756882"/>
      <w:r w:rsidRPr="00A25F2C">
        <w:t>Our long-term plan</w:t>
      </w:r>
      <w:bookmarkEnd w:id="34"/>
    </w:p>
    <w:p w14:paraId="224E3211" w14:textId="77777777" w:rsidR="009A65B7" w:rsidRPr="00A25F2C" w:rsidRDefault="009A65B7" w:rsidP="009A65B7">
      <w:pPr>
        <w:pStyle w:val="BodyText"/>
      </w:pPr>
      <w:r w:rsidRPr="00A25F2C">
        <w:t xml:space="preserve">Our priority is to have trusted relationships with Traditional Owners, who are informed and active participants in the work we do. Melbourne Water is seeking a better understanding of the priorities and aspirations of Traditional Owners through Country Plans and mutual understanding of each other’s strategic priorities. Our </w:t>
      </w:r>
      <w:r w:rsidRPr="00A25F2C">
        <w:lastRenderedPageBreak/>
        <w:t>vision for reconciliation is for Traditional Owners to be respected as sovereign partners in land and water management. We will achieve this by:</w:t>
      </w:r>
    </w:p>
    <w:p w14:paraId="2CE36AC7" w14:textId="77777777" w:rsidR="009A65B7" w:rsidRPr="00A25F2C" w:rsidRDefault="009A65B7" w:rsidP="009A65B7">
      <w:pPr>
        <w:pStyle w:val="ListBullet"/>
      </w:pPr>
      <w:r w:rsidRPr="00A25F2C">
        <w:t>working in partnership with Traditional Owners and Aboriginal and Torres Strait Islander communities to care for land and waterways</w:t>
      </w:r>
    </w:p>
    <w:p w14:paraId="2B841B67" w14:textId="77777777" w:rsidR="009A65B7" w:rsidRPr="00A25F2C" w:rsidRDefault="009A65B7" w:rsidP="009A65B7">
      <w:pPr>
        <w:pStyle w:val="ListBullet"/>
      </w:pPr>
      <w:r w:rsidRPr="00A25F2C">
        <w:t>building cultural capability throughout our organisation</w:t>
      </w:r>
    </w:p>
    <w:p w14:paraId="061C005C" w14:textId="77777777" w:rsidR="009A65B7" w:rsidRPr="00A25F2C" w:rsidRDefault="009A65B7" w:rsidP="009A65B7">
      <w:pPr>
        <w:pStyle w:val="ListBullet"/>
      </w:pPr>
      <w:r w:rsidRPr="00A25F2C">
        <w:t>listening and learning so we can deepen our knowledge and understanding of our partners’ priorities and contribute to supporting stronger Aboriginal and Torres Strait Islander communities.</w:t>
      </w:r>
    </w:p>
    <w:p w14:paraId="7B4676E6" w14:textId="77777777" w:rsidR="009A65B7" w:rsidRPr="00A25F2C" w:rsidRDefault="009A65B7" w:rsidP="009A65B7">
      <w:pPr>
        <w:pStyle w:val="BodyText"/>
      </w:pPr>
      <w:r w:rsidRPr="00A25F2C">
        <w:t xml:space="preserve">The development of formal partnership agreements will clarify our collective aspirations and support better and clearer reporting of successes and areas for improvement. Melbourne Water will also continue to promote our region’s ‘living culture’ and support staff to improve their cultural understanding, with targets and deliverables accountable through our </w:t>
      </w:r>
      <w:r w:rsidRPr="00A25F2C">
        <w:rPr>
          <w:i/>
        </w:rPr>
        <w:t>Reconciliation Action Plan</w:t>
      </w:r>
      <w:r w:rsidRPr="00A25F2C">
        <w:t>.</w:t>
      </w:r>
    </w:p>
    <w:p w14:paraId="594C5F92" w14:textId="4C26DE73" w:rsidR="009A65B7" w:rsidRPr="00A25F2C" w:rsidRDefault="009A65B7" w:rsidP="009A65B7">
      <w:pPr>
        <w:pStyle w:val="BodyText"/>
      </w:pPr>
      <w:r w:rsidRPr="00A25F2C">
        <w:t xml:space="preserve">In addition, Water is Life and the </w:t>
      </w:r>
      <w:r w:rsidR="00E23BDC">
        <w:t>Central and Gippsland Region Sustainable Water Strategy</w:t>
      </w:r>
      <w:r w:rsidRPr="00A25F2C">
        <w:t xml:space="preserve"> include actions that seek to support returning water to Traditional Owners for self- determined uses. The specific projects and potential volumes to be returned will start to be progressed through 2023 and will be documented in </w:t>
      </w:r>
      <w:proofErr w:type="gramStart"/>
      <w:r w:rsidRPr="00A25F2C">
        <w:t xml:space="preserve">the </w:t>
      </w:r>
      <w:r w:rsidR="00E23BDC">
        <w:t xml:space="preserve"> Department</w:t>
      </w:r>
      <w:proofErr w:type="gramEnd"/>
      <w:r w:rsidR="00E23BDC">
        <w:t xml:space="preserve"> of Environment, Energy and Climate Action</w:t>
      </w:r>
      <w:r w:rsidRPr="00A25F2C">
        <w:t xml:space="preserve"> led Water Grid Plan. The projects could include water infrastructure, </w:t>
      </w:r>
      <w:r w:rsidR="00E23BDC">
        <w:t>Integrated Water Management</w:t>
      </w:r>
      <w:r w:rsidRPr="00A25F2C">
        <w:t xml:space="preserve">, manufactured </w:t>
      </w:r>
      <w:proofErr w:type="gramStart"/>
      <w:r w:rsidRPr="00A25F2C">
        <w:t>water</w:t>
      </w:r>
      <w:proofErr w:type="gramEnd"/>
      <w:r w:rsidRPr="00A25F2C">
        <w:t xml:space="preserve"> and other water efficiency opportunities. Melbourne Water will </w:t>
      </w:r>
      <w:proofErr w:type="gramStart"/>
      <w:r w:rsidRPr="00A25F2C">
        <w:t xml:space="preserve">support </w:t>
      </w:r>
      <w:r w:rsidR="00E23BDC">
        <w:t xml:space="preserve"> Department</w:t>
      </w:r>
      <w:proofErr w:type="gramEnd"/>
      <w:r w:rsidR="00E23BDC">
        <w:t xml:space="preserve"> of Environment, Energy and Climate Action</w:t>
      </w:r>
      <w:r w:rsidRPr="00A25F2C">
        <w:t xml:space="preserve"> and Traditional Owners leading this work to deliver actions to return water in Water is Life (Outcome 7) and the </w:t>
      </w:r>
      <w:r w:rsidR="00E23BDC">
        <w:t>Central and Gippsland Region Sustainable Water Strategy</w:t>
      </w:r>
      <w:r w:rsidRPr="00A25F2C">
        <w:t xml:space="preserve"> (Actions 4-1 and 4-2) in addition to other </w:t>
      </w:r>
      <w:r w:rsidR="00E23BDC">
        <w:t xml:space="preserve"> Department of Environment, Energy and Climate Action</w:t>
      </w:r>
      <w:r w:rsidRPr="00A25F2C">
        <w:t xml:space="preserve"> led actions to reduce barriers.</w:t>
      </w:r>
    </w:p>
    <w:p w14:paraId="5D41016F" w14:textId="6F08CBC5" w:rsidR="007F4791" w:rsidRPr="00A25F2C" w:rsidRDefault="007F4791" w:rsidP="009A65B7">
      <w:pPr>
        <w:pStyle w:val="Heading3"/>
      </w:pPr>
      <w:bookmarkStart w:id="35" w:name="_Toc147756883"/>
      <w:r w:rsidRPr="00A25F2C">
        <w:t>The year ahead</w:t>
      </w:r>
      <w:bookmarkEnd w:id="35"/>
    </w:p>
    <w:p w14:paraId="21E0E5C1" w14:textId="77777777" w:rsidR="007F4791" w:rsidRPr="00A25F2C" w:rsidRDefault="007F4791" w:rsidP="009A65B7">
      <w:pPr>
        <w:pStyle w:val="ListBullet"/>
      </w:pPr>
      <w:r w:rsidRPr="00A25F2C">
        <w:t>Commence partnership agreements through steering groups with Traditional Owners, focusing on self-determination and caring for Country.</w:t>
      </w:r>
    </w:p>
    <w:p w14:paraId="29B106C8" w14:textId="126FF138" w:rsidR="007F4791" w:rsidRPr="00A25F2C" w:rsidRDefault="007F4791" w:rsidP="003C7EDF">
      <w:pPr>
        <w:pStyle w:val="ListBullet"/>
      </w:pPr>
      <w:r w:rsidRPr="00A25F2C">
        <w:t>Continue to deliver our Innovate III Reconciliation Action Plan</w:t>
      </w:r>
      <w:r w:rsidR="009A65B7">
        <w:t xml:space="preserve"> </w:t>
      </w:r>
      <w:r w:rsidRPr="00A25F2C">
        <w:t xml:space="preserve">and begin writing our first </w:t>
      </w:r>
      <w:r w:rsidRPr="009A65B7">
        <w:rPr>
          <w:i/>
        </w:rPr>
        <w:t>Stretch Reconciliation Action Plan</w:t>
      </w:r>
      <w:r w:rsidRPr="00A25F2C">
        <w:t>.</w:t>
      </w:r>
    </w:p>
    <w:p w14:paraId="075DE7EC" w14:textId="77777777" w:rsidR="007F4791" w:rsidRPr="00A25F2C" w:rsidRDefault="007F4791" w:rsidP="009A65B7">
      <w:pPr>
        <w:pStyle w:val="ListBullet"/>
      </w:pPr>
      <w:r w:rsidRPr="00A25F2C">
        <w:t>Continue to deliver our three-level cultural awareness training program and drive cultural safety outcomes.</w:t>
      </w:r>
    </w:p>
    <w:p w14:paraId="3897043A" w14:textId="77777777" w:rsidR="007F4791" w:rsidRPr="00A25F2C" w:rsidRDefault="007F4791" w:rsidP="009A65B7">
      <w:pPr>
        <w:pStyle w:val="ListBullet"/>
      </w:pPr>
      <w:r w:rsidRPr="00A25F2C">
        <w:t>Commence development of the next pricing commitment to fund Traditional Owner self-determination and water justice.</w:t>
      </w:r>
    </w:p>
    <w:p w14:paraId="148A0774" w14:textId="77777777" w:rsidR="007F4791" w:rsidRPr="00A25F2C" w:rsidRDefault="007F4791" w:rsidP="009A65B7">
      <w:pPr>
        <w:pStyle w:val="ListBullet"/>
      </w:pPr>
      <w:r w:rsidRPr="00A25F2C">
        <w:t>Wurundjeri Woi-wurrung, Wadawurrung and Wandoon Estate aim to officially sign agreements with Melbourne Water in 2023.</w:t>
      </w:r>
    </w:p>
    <w:p w14:paraId="27DA0DAB" w14:textId="77777777" w:rsidR="00143D6B" w:rsidRDefault="007F4791" w:rsidP="009A65B7">
      <w:pPr>
        <w:pStyle w:val="ListBullet"/>
      </w:pPr>
      <w:r w:rsidRPr="00A25F2C">
        <w:t>Launch artwork for our goal of Walking Country together and communicate the structure for our leader’s forum, partnership steering groups and cultural advisory group.</w:t>
      </w:r>
    </w:p>
    <w:p w14:paraId="6227306E" w14:textId="3F7E42AC" w:rsidR="007F4791" w:rsidRDefault="007F4791" w:rsidP="007F4791">
      <w:pPr>
        <w:pStyle w:val="BodyText"/>
        <w:rPr>
          <w:b/>
        </w:rPr>
      </w:pPr>
      <w:r w:rsidRPr="00A25F2C">
        <w:rPr>
          <w:b/>
        </w:rPr>
        <w:t>Delivering on</w:t>
      </w:r>
    </w:p>
    <w:p w14:paraId="4A3DCFF4" w14:textId="09C91927" w:rsidR="00025489" w:rsidRPr="00025489" w:rsidRDefault="00025489" w:rsidP="00025489">
      <w:pPr>
        <w:pStyle w:val="ListBullet"/>
      </w:pPr>
      <w:r w:rsidRPr="00025489">
        <w:t>Sustainable Development Goal 10: Reduced Inequalities</w:t>
      </w:r>
    </w:p>
    <w:p w14:paraId="405FB276" w14:textId="012DE7F8" w:rsidR="00025489" w:rsidRPr="00025489" w:rsidRDefault="00025489" w:rsidP="00025489">
      <w:pPr>
        <w:pStyle w:val="ListBullet"/>
      </w:pPr>
      <w:r w:rsidRPr="00025489">
        <w:t>Sustainable Development Goal 14: Life Below Water</w:t>
      </w:r>
    </w:p>
    <w:p w14:paraId="324E2525" w14:textId="0DEF16CA" w:rsidR="00025489" w:rsidRPr="00025489" w:rsidRDefault="00025489" w:rsidP="00025489">
      <w:pPr>
        <w:pStyle w:val="ListBullet"/>
      </w:pPr>
      <w:r w:rsidRPr="00025489">
        <w:t xml:space="preserve">Sustainable Development Goal 15: Life </w:t>
      </w:r>
      <w:proofErr w:type="gramStart"/>
      <w:r w:rsidRPr="00025489">
        <w:t>On</w:t>
      </w:r>
      <w:proofErr w:type="gramEnd"/>
      <w:r w:rsidRPr="00025489">
        <w:t xml:space="preserve"> Land</w:t>
      </w:r>
    </w:p>
    <w:p w14:paraId="7AF3D2D5" w14:textId="3B590786" w:rsidR="00025489" w:rsidRPr="00025489" w:rsidRDefault="00025489" w:rsidP="00025489">
      <w:pPr>
        <w:pStyle w:val="ListBullet"/>
      </w:pPr>
      <w:r w:rsidRPr="00025489">
        <w:t xml:space="preserve">Sustainable Development Goal 16: Peace, </w:t>
      </w:r>
      <w:proofErr w:type="gramStart"/>
      <w:r w:rsidRPr="00025489">
        <w:t>Justice</w:t>
      </w:r>
      <w:proofErr w:type="gramEnd"/>
      <w:r w:rsidRPr="00025489">
        <w:t xml:space="preserve"> and Strong Institutions</w:t>
      </w:r>
    </w:p>
    <w:p w14:paraId="791F4965" w14:textId="61BCA02E" w:rsidR="00025489" w:rsidRPr="00A25F2C" w:rsidRDefault="00025489" w:rsidP="00025489">
      <w:pPr>
        <w:pStyle w:val="ListBullet"/>
      </w:pPr>
      <w:r w:rsidRPr="00025489">
        <w:t>Sustainable Development Goal 17: Partnerships for the Goals</w:t>
      </w:r>
    </w:p>
    <w:p w14:paraId="4D73347C" w14:textId="18251948" w:rsidR="00143D6B" w:rsidRDefault="007F4791" w:rsidP="00FC6283">
      <w:pPr>
        <w:pStyle w:val="GreyBox"/>
      </w:pPr>
      <w:r w:rsidRPr="00A25F2C">
        <w:t>Water for Victoria</w:t>
      </w:r>
      <w:r w:rsidR="00FC6283">
        <w:t xml:space="preserve"> chapters</w:t>
      </w:r>
      <w:r w:rsidR="009A65B7">
        <w:t xml:space="preserve"> </w:t>
      </w:r>
      <w:r w:rsidRPr="00A25F2C">
        <w:t>3</w:t>
      </w:r>
      <w:r w:rsidR="009A65B7">
        <w:t xml:space="preserve"> and 6</w:t>
      </w:r>
      <w:r w:rsidR="00FC6283">
        <w:t>.</w:t>
      </w:r>
    </w:p>
    <w:p w14:paraId="2C883718" w14:textId="3DB46AD5" w:rsidR="007F4791" w:rsidRPr="00A25F2C" w:rsidRDefault="007F4791" w:rsidP="007F4791">
      <w:pPr>
        <w:pStyle w:val="Heading2"/>
      </w:pPr>
      <w:bookmarkStart w:id="36" w:name="_Toc147756884"/>
      <w:r w:rsidRPr="00A25F2C">
        <w:lastRenderedPageBreak/>
        <w:t>Waterway and catchment health</w:t>
      </w:r>
      <w:bookmarkEnd w:id="36"/>
    </w:p>
    <w:p w14:paraId="00B6591B" w14:textId="77777777" w:rsidR="007F4791" w:rsidRPr="00A25F2C" w:rsidRDefault="007F4791" w:rsidP="009A65B7">
      <w:pPr>
        <w:pStyle w:val="Heading3"/>
      </w:pPr>
      <w:bookmarkStart w:id="37" w:name="_Toc147756885"/>
      <w:r w:rsidRPr="00A25F2C">
        <w:t>What we do now</w:t>
      </w:r>
      <w:bookmarkEnd w:id="37"/>
    </w:p>
    <w:p w14:paraId="038D3901" w14:textId="426EBD06" w:rsidR="007F4791" w:rsidRPr="00A25F2C" w:rsidRDefault="007F4791" w:rsidP="007F4791">
      <w:pPr>
        <w:pStyle w:val="BodyText"/>
      </w:pPr>
      <w:r w:rsidRPr="00A25F2C">
        <w:t xml:space="preserve">The ministerially approved </w:t>
      </w:r>
      <w:r w:rsidRPr="00A25F2C">
        <w:rPr>
          <w:i/>
        </w:rPr>
        <w:t xml:space="preserve">Regional Catchment Strategy </w:t>
      </w:r>
      <w:r w:rsidRPr="00A25F2C">
        <w:t xml:space="preserve">provides the overarching strategic directions for the region’s land, water, biodiversity, </w:t>
      </w:r>
      <w:proofErr w:type="gramStart"/>
      <w:r w:rsidRPr="00A25F2C">
        <w:t>community</w:t>
      </w:r>
      <w:proofErr w:type="gramEnd"/>
      <w:r w:rsidRPr="00A25F2C">
        <w:t xml:space="preserve"> and local areas. To complement the </w:t>
      </w:r>
      <w:r w:rsidRPr="00A25F2C">
        <w:rPr>
          <w:i/>
        </w:rPr>
        <w:t>Regional Catchment Strategy</w:t>
      </w:r>
      <w:r w:rsidRPr="00A25F2C">
        <w:t xml:space="preserve">, we are developing </w:t>
      </w:r>
      <w:r w:rsidRPr="00A25F2C">
        <w:rPr>
          <w:i/>
        </w:rPr>
        <w:t xml:space="preserve">Natural Resource Management </w:t>
      </w:r>
      <w:r w:rsidRPr="00A25F2C">
        <w:t>action plans as supplementary documents.</w:t>
      </w:r>
      <w:r w:rsidR="009A65B7">
        <w:t xml:space="preserve"> </w:t>
      </w:r>
      <w:r w:rsidRPr="00A25F2C">
        <w:t xml:space="preserve">These action plans identify and prioritise natural resource management assets, </w:t>
      </w:r>
      <w:proofErr w:type="gramStart"/>
      <w:r w:rsidRPr="00A25F2C">
        <w:t>values</w:t>
      </w:r>
      <w:proofErr w:type="gramEnd"/>
      <w:r w:rsidRPr="00A25F2C">
        <w:t xml:space="preserve"> and actions. They are supported by:</w:t>
      </w:r>
    </w:p>
    <w:p w14:paraId="5BD09B93" w14:textId="77777777" w:rsidR="007F4791" w:rsidRPr="00A25F2C" w:rsidRDefault="007F4791" w:rsidP="007F4791">
      <w:pPr>
        <w:pStyle w:val="ListBullet2"/>
      </w:pPr>
      <w:r w:rsidRPr="00A25F2C">
        <w:t>stakeholder aspirations, including Indigenous peoples’ land and sea management aspirations</w:t>
      </w:r>
    </w:p>
    <w:p w14:paraId="6CED49CA" w14:textId="77777777" w:rsidR="007F4791" w:rsidRPr="00A25F2C" w:rsidRDefault="007F4791" w:rsidP="007F4791">
      <w:pPr>
        <w:pStyle w:val="ListBullet2"/>
      </w:pPr>
      <w:r w:rsidRPr="00A25F2C">
        <w:t>identifying how actions will contribute to federal and state government investment priorities</w:t>
      </w:r>
    </w:p>
    <w:p w14:paraId="6634C018" w14:textId="77777777" w:rsidR="007F4791" w:rsidRPr="00A25F2C" w:rsidRDefault="007F4791" w:rsidP="007F4791">
      <w:pPr>
        <w:pStyle w:val="ListBullet2"/>
      </w:pPr>
      <w:r w:rsidRPr="00A25F2C">
        <w:t>identifying how these actions will be implemented with comprehensive community participation</w:t>
      </w:r>
    </w:p>
    <w:p w14:paraId="10BA4059" w14:textId="77777777" w:rsidR="007F4791" w:rsidRPr="00A25F2C" w:rsidRDefault="007F4791" w:rsidP="007F4791">
      <w:pPr>
        <w:pStyle w:val="ListBullet2"/>
      </w:pPr>
      <w:r w:rsidRPr="00A25F2C">
        <w:t>identifying the key collaborations and partnerships for delivery</w:t>
      </w:r>
    </w:p>
    <w:p w14:paraId="544351D3" w14:textId="77777777" w:rsidR="007F4791" w:rsidRPr="00A25F2C" w:rsidRDefault="007F4791" w:rsidP="007F4791">
      <w:pPr>
        <w:pStyle w:val="ListBullet2"/>
      </w:pPr>
      <w:r w:rsidRPr="00A25F2C">
        <w:t>identifying the monitoring and reporting processes that will be utilised to measure the achievements and effectiveness of the plans.</w:t>
      </w:r>
    </w:p>
    <w:p w14:paraId="600695B3" w14:textId="5AA5D411" w:rsidR="007F4791" w:rsidRPr="00A25F2C" w:rsidRDefault="007F4791" w:rsidP="007F4791">
      <w:pPr>
        <w:pStyle w:val="BodyText"/>
      </w:pPr>
      <w:r w:rsidRPr="00A25F2C">
        <w:t xml:space="preserve">The action plans support decisions about prudent and efficient investment, enabling investment for the best possible integrated catchment management outcomes for the Port Phillip and Westernport region and community. Melbourne Water will continue refining these documents to allow for ongoing adaptation as an evolving part of the </w:t>
      </w:r>
      <w:r w:rsidRPr="00A25F2C">
        <w:rPr>
          <w:i/>
        </w:rPr>
        <w:t>Natural Resource</w:t>
      </w:r>
      <w:r w:rsidR="00D5346E">
        <w:rPr>
          <w:i/>
        </w:rPr>
        <w:t xml:space="preserve"> </w:t>
      </w:r>
      <w:r w:rsidRPr="00A25F2C">
        <w:rPr>
          <w:i/>
        </w:rPr>
        <w:t xml:space="preserve">Management </w:t>
      </w:r>
      <w:r w:rsidRPr="00A25F2C">
        <w:t xml:space="preserve">and </w:t>
      </w:r>
      <w:r w:rsidRPr="00A25F2C">
        <w:rPr>
          <w:i/>
        </w:rPr>
        <w:t xml:space="preserve">Regional Catchment Strategy </w:t>
      </w:r>
      <w:r w:rsidRPr="00A25F2C">
        <w:t>implementation.</w:t>
      </w:r>
    </w:p>
    <w:p w14:paraId="77A9EA56" w14:textId="77777777" w:rsidR="007F4791" w:rsidRPr="00A25F2C" w:rsidRDefault="007F4791" w:rsidP="00D5346E">
      <w:pPr>
        <w:pStyle w:val="Heading4"/>
      </w:pPr>
      <w:r w:rsidRPr="00A25F2C">
        <w:t>Linking Landscapes</w:t>
      </w:r>
    </w:p>
    <w:p w14:paraId="4C8FDE2D" w14:textId="77777777" w:rsidR="007F4791" w:rsidRPr="00A25F2C" w:rsidRDefault="007F4791" w:rsidP="007F4791">
      <w:pPr>
        <w:pStyle w:val="BodyText"/>
      </w:pPr>
      <w:r w:rsidRPr="00A25F2C">
        <w:t xml:space="preserve">Adopting a whole of catchment approach to natural resource management, the Linking Landscapes project is delivering collaborative, landscape-scale integrated catchment management activities across the Port Phillip and Westernport region that support the delivery of targets in both the </w:t>
      </w:r>
      <w:r w:rsidRPr="00A25F2C">
        <w:rPr>
          <w:i/>
        </w:rPr>
        <w:t xml:space="preserve">Regional Catchment Strategy </w:t>
      </w:r>
      <w:r w:rsidRPr="00A25F2C">
        <w:t xml:space="preserve">and the </w:t>
      </w:r>
      <w:r w:rsidRPr="00A25F2C">
        <w:rPr>
          <w:i/>
        </w:rPr>
        <w:t>Healthy Waterways Strategy</w:t>
      </w:r>
      <w:r w:rsidRPr="00A25F2C">
        <w:t>.</w:t>
      </w:r>
    </w:p>
    <w:p w14:paraId="509A7DBA" w14:textId="5831A1A8" w:rsidR="007F4791" w:rsidRPr="00A25F2C" w:rsidRDefault="007F4791" w:rsidP="007F4791">
      <w:pPr>
        <w:pStyle w:val="BodyText"/>
      </w:pPr>
      <w:r w:rsidRPr="00A25F2C">
        <w:t>Through this project, on-ground actions are being delivered at three priority locations to improve catchment health and</w:t>
      </w:r>
      <w:r w:rsidR="00D5346E">
        <w:t xml:space="preserve"> </w:t>
      </w:r>
      <w:r w:rsidRPr="00A25F2C">
        <w:t xml:space="preserve">deliver multiple benefits to land, water, biodiversity, Traditional </w:t>
      </w:r>
      <w:proofErr w:type="gramStart"/>
      <w:r w:rsidRPr="00A25F2C">
        <w:t>Owners</w:t>
      </w:r>
      <w:proofErr w:type="gramEnd"/>
      <w:r w:rsidRPr="00A25F2C">
        <w:t xml:space="preserve"> and communities. The project is also maintaining and improving catchment partnerships, </w:t>
      </w:r>
      <w:proofErr w:type="gramStart"/>
      <w:r w:rsidRPr="00A25F2C">
        <w:t>supporting</w:t>
      </w:r>
      <w:proofErr w:type="gramEnd"/>
      <w:r w:rsidRPr="00A25F2C">
        <w:t xml:space="preserve"> and fostering regional leadership, and building capacity among key partners and community.</w:t>
      </w:r>
    </w:p>
    <w:p w14:paraId="0A76C736" w14:textId="6783AC89" w:rsidR="007F4791" w:rsidRPr="00A25F2C" w:rsidRDefault="007F4791" w:rsidP="007F4791">
      <w:pPr>
        <w:pStyle w:val="BodyText"/>
      </w:pPr>
      <w:r w:rsidRPr="00A25F2C">
        <w:t>Through the Victorian Government, a total investment of</w:t>
      </w:r>
      <w:r w:rsidR="00D5346E">
        <w:t xml:space="preserve"> </w:t>
      </w:r>
      <w:r w:rsidRPr="00A25F2C">
        <w:t>$1.5 million has been made through the Our Catchment, Our Communities program, which will be complemented by more than double that in contributions from Melbourne Water and other partners, to deliver three major on-ground activities that demonstrate integrated catchment management and</w:t>
      </w:r>
      <w:r w:rsidR="00D5346E">
        <w:t xml:space="preserve"> </w:t>
      </w:r>
      <w:r w:rsidRPr="00A25F2C">
        <w:t xml:space="preserve">catchment stewardship across the region. Since commencing in 2022, the Linking Landscapes project has built and strengthened existing collaborative partnerships with government agencies, local government, industry bodies, Traditional </w:t>
      </w:r>
      <w:proofErr w:type="gramStart"/>
      <w:r w:rsidRPr="00A25F2C">
        <w:t>Owners</w:t>
      </w:r>
      <w:proofErr w:type="gramEnd"/>
      <w:r w:rsidRPr="00A25F2C">
        <w:t xml:space="preserve"> and community, as well as bringing together the region’s two natural resource management organisations (Melbourne</w:t>
      </w:r>
      <w:r w:rsidR="00D5346E">
        <w:t xml:space="preserve"> </w:t>
      </w:r>
      <w:r w:rsidRPr="00A25F2C">
        <w:t xml:space="preserve">Water and the former </w:t>
      </w:r>
      <w:r w:rsidR="00E23BDC">
        <w:t>Port Phillip Westernport Catchment Management Authority</w:t>
      </w:r>
      <w:r w:rsidRPr="00A25F2C">
        <w:t>) into the one combined entity, realising a broad range of organisational efficiencies.</w:t>
      </w:r>
    </w:p>
    <w:p w14:paraId="6BB64851" w14:textId="7D3A6703" w:rsidR="007F4791" w:rsidRPr="00A25F2C" w:rsidRDefault="007F4791" w:rsidP="007F4791">
      <w:pPr>
        <w:pStyle w:val="BodyText"/>
      </w:pPr>
      <w:r w:rsidRPr="00A25F2C">
        <w:t>Linking Landscapes represents a critical uplift in collaborative land stewardship to deliver innovative on-ground action.</w:t>
      </w:r>
      <w:r w:rsidR="00D5346E">
        <w:t xml:space="preserve"> </w:t>
      </w:r>
      <w:r w:rsidRPr="00A25F2C">
        <w:t>Activities include:</w:t>
      </w:r>
    </w:p>
    <w:p w14:paraId="4B01329A" w14:textId="77777777" w:rsidR="007F4791" w:rsidRPr="00A25F2C" w:rsidRDefault="007F4791" w:rsidP="00D5346E">
      <w:pPr>
        <w:pStyle w:val="ListBullet"/>
      </w:pPr>
      <w:r w:rsidRPr="00A25F2C">
        <w:t>Yering Gorge to Yarra Junction Integrated Catchment Management project</w:t>
      </w:r>
    </w:p>
    <w:p w14:paraId="07FF1C6F" w14:textId="77777777" w:rsidR="007F4791" w:rsidRPr="00A25F2C" w:rsidRDefault="007F4791" w:rsidP="00D5346E">
      <w:pPr>
        <w:pStyle w:val="ListBullet"/>
      </w:pPr>
      <w:r w:rsidRPr="00A25F2C">
        <w:t>I ‘heart’ the Mornington Peninsula – Greens Bush to Arthurs Seat Catchment Stewardship project</w:t>
      </w:r>
    </w:p>
    <w:p w14:paraId="60F283AC" w14:textId="77777777" w:rsidR="007F4791" w:rsidRPr="00A25F2C" w:rsidRDefault="007F4791" w:rsidP="00D5346E">
      <w:pPr>
        <w:pStyle w:val="ListBullet"/>
      </w:pPr>
      <w:r w:rsidRPr="00A25F2C">
        <w:t>Living Links Urban Forest project.</w:t>
      </w:r>
    </w:p>
    <w:p w14:paraId="52B243E9" w14:textId="77777777" w:rsidR="007F4791" w:rsidRPr="00A25F2C" w:rsidRDefault="007F4791" w:rsidP="00D5346E">
      <w:pPr>
        <w:pStyle w:val="Heading4"/>
      </w:pPr>
      <w:r w:rsidRPr="00A25F2C">
        <w:lastRenderedPageBreak/>
        <w:t>Yarra Strategic Plan</w:t>
      </w:r>
    </w:p>
    <w:p w14:paraId="1BE4271A" w14:textId="77777777" w:rsidR="007F4791" w:rsidRPr="00A25F2C" w:rsidRDefault="007F4791" w:rsidP="007F4791">
      <w:pPr>
        <w:pStyle w:val="BodyText"/>
      </w:pPr>
      <w:r w:rsidRPr="00A25F2C">
        <w:t xml:space="preserve">Melbourne Water will continue as the lead agency for implementing the </w:t>
      </w:r>
      <w:r w:rsidRPr="00A25F2C">
        <w:rPr>
          <w:i/>
        </w:rPr>
        <w:t>Burndap Birrarung burndap umarkoo - Yarra Strategic Plan 2022–2032</w:t>
      </w:r>
      <w:r w:rsidRPr="00A25F2C">
        <w:t>, a 10-year plan that establishes a collaborative management model to protect and enhance the Yarra River and its parklands for a place of refuge and recreation, as one living and integrated natural entity.</w:t>
      </w:r>
    </w:p>
    <w:p w14:paraId="1ABCC1AD" w14:textId="77777777" w:rsidR="007F4791" w:rsidRPr="00A25F2C" w:rsidRDefault="007F4791" w:rsidP="007F4791">
      <w:pPr>
        <w:pStyle w:val="BodyText"/>
      </w:pPr>
      <w:r w:rsidRPr="00A25F2C">
        <w:t>Implementation of the plan is a collaborative effort supported by the Wurundjeri Woi-wurrung Cultural Heritage Aboriginal Corporation, Bunurong Land Council Aboriginal Corporation and 14 state and local government agencies with interests in caring for the Yarra River and its lands.</w:t>
      </w:r>
    </w:p>
    <w:p w14:paraId="0D833474" w14:textId="7123AEA9" w:rsidR="007F4791" w:rsidRPr="00A25F2C" w:rsidRDefault="007F4791" w:rsidP="007F4791">
      <w:pPr>
        <w:pStyle w:val="BodyText"/>
      </w:pPr>
      <w:r w:rsidRPr="00A25F2C">
        <w:t>As lead agency, Melbourne Water works with our partners to maintain awareness of current and planned activities in the corridor, ensuring opportunities to collaborate and drive</w:t>
      </w:r>
      <w:r w:rsidR="00D5346E">
        <w:t xml:space="preserve"> </w:t>
      </w:r>
      <w:r w:rsidRPr="00A25F2C">
        <w:t>collective impact are achieved, with the goal of working towards the community’s 50-year vision for the river and its lands.</w:t>
      </w:r>
    </w:p>
    <w:p w14:paraId="53C6D619" w14:textId="77777777" w:rsidR="00143D6B" w:rsidRDefault="007F4791" w:rsidP="007F4791">
      <w:pPr>
        <w:pStyle w:val="BodyText"/>
      </w:pPr>
      <w:r w:rsidRPr="00A25F2C">
        <w:t xml:space="preserve">The </w:t>
      </w:r>
      <w:r w:rsidRPr="00A25F2C">
        <w:rPr>
          <w:i/>
        </w:rPr>
        <w:t xml:space="preserve">Yarra Strategic Plan </w:t>
      </w:r>
      <w:r w:rsidRPr="00A25F2C">
        <w:t xml:space="preserve">aligns strongly with Melbourne Water’s vision, the </w:t>
      </w:r>
      <w:r w:rsidRPr="00A25F2C">
        <w:rPr>
          <w:i/>
        </w:rPr>
        <w:t>Healthy Waterways Strategy 2018</w:t>
      </w:r>
      <w:r w:rsidRPr="00A25F2C">
        <w:t xml:space="preserve">, regional catchment strategies and the </w:t>
      </w:r>
      <w:r w:rsidRPr="00A25F2C">
        <w:rPr>
          <w:i/>
        </w:rPr>
        <w:t xml:space="preserve">Eastern Metro Land Use Framework Plan </w:t>
      </w:r>
      <w:r w:rsidRPr="00A25F2C">
        <w:t xml:space="preserve">that supports </w:t>
      </w:r>
      <w:r w:rsidRPr="00A25F2C">
        <w:rPr>
          <w:i/>
        </w:rPr>
        <w:t>Plan Melbourne 2017–2050</w:t>
      </w:r>
      <w:r w:rsidRPr="00A25F2C">
        <w:t>.</w:t>
      </w:r>
    </w:p>
    <w:p w14:paraId="586ACF5F" w14:textId="2594AD3D" w:rsidR="007F4791" w:rsidRPr="00A25F2C" w:rsidRDefault="007F4791" w:rsidP="00D5346E">
      <w:pPr>
        <w:pStyle w:val="Heading3"/>
      </w:pPr>
      <w:bookmarkStart w:id="38" w:name="_Toc147756886"/>
      <w:r w:rsidRPr="00A25F2C">
        <w:t>Our long-term plan</w:t>
      </w:r>
      <w:bookmarkEnd w:id="38"/>
    </w:p>
    <w:p w14:paraId="14A24588" w14:textId="06A5083C" w:rsidR="007F4791" w:rsidRPr="00A25F2C" w:rsidRDefault="007F4791" w:rsidP="007F4791">
      <w:pPr>
        <w:pStyle w:val="BodyText"/>
      </w:pPr>
      <w:r w:rsidRPr="00A25F2C">
        <w:t xml:space="preserve">The previous Catchment Partnership Agreement for the Port Phillip and Westernport region aimed to strengthen coordination, </w:t>
      </w:r>
      <w:proofErr w:type="gramStart"/>
      <w:r w:rsidRPr="00A25F2C">
        <w:t>collaboration</w:t>
      </w:r>
      <w:proofErr w:type="gramEnd"/>
      <w:r w:rsidRPr="00A25F2C">
        <w:t xml:space="preserve"> and accountability, reduce duplication and provide clarity on roles and responsibilities between key catchment management partners. Following the integration of the </w:t>
      </w:r>
      <w:r w:rsidR="00E23BDC">
        <w:t>Port Phillip Westernport Catchment Management Authority</w:t>
      </w:r>
      <w:r w:rsidRPr="00A25F2C">
        <w:t xml:space="preserve"> into Melbourne Water, the Catchment Partnership Agreement is now due for renewal.</w:t>
      </w:r>
    </w:p>
    <w:p w14:paraId="305239F7" w14:textId="77777777" w:rsidR="007F4791" w:rsidRPr="00A25F2C" w:rsidRDefault="007F4791" w:rsidP="007F4791">
      <w:pPr>
        <w:pStyle w:val="BodyText"/>
      </w:pPr>
      <w:r w:rsidRPr="00A25F2C">
        <w:t>During 2023-24, Melbourne Water will also focus on renewing this agreement in collaboration with a range of key partner organisations.</w:t>
      </w:r>
    </w:p>
    <w:p w14:paraId="5D867E1D" w14:textId="75FA02B7" w:rsidR="007F4791" w:rsidRPr="00A25F2C" w:rsidRDefault="007F4791" w:rsidP="007F4791">
      <w:pPr>
        <w:pStyle w:val="BodyText"/>
      </w:pPr>
      <w:r w:rsidRPr="00A25F2C">
        <w:t xml:space="preserve">Melbourne Water will work </w:t>
      </w:r>
      <w:proofErr w:type="gramStart"/>
      <w:r w:rsidRPr="00A25F2C">
        <w:t xml:space="preserve">with </w:t>
      </w:r>
      <w:r w:rsidR="00E23BDC">
        <w:t xml:space="preserve"> Department</w:t>
      </w:r>
      <w:proofErr w:type="gramEnd"/>
      <w:r w:rsidR="00E23BDC">
        <w:t xml:space="preserve"> of Environment, Energy and Climate Action</w:t>
      </w:r>
      <w:r w:rsidRPr="00A25F2C">
        <w:t xml:space="preserve"> to ensure catchment conditions and management reporting adds value this year and beyond.</w:t>
      </w:r>
    </w:p>
    <w:p w14:paraId="0BA10005" w14:textId="0108477C" w:rsidR="007F4791" w:rsidRPr="00A25F2C" w:rsidRDefault="007F4791" w:rsidP="00D5346E">
      <w:pPr>
        <w:pStyle w:val="Heading3"/>
      </w:pPr>
      <w:bookmarkStart w:id="39" w:name="_Toc147756887"/>
      <w:r w:rsidRPr="00A25F2C">
        <w:t>The year ahead</w:t>
      </w:r>
      <w:bookmarkEnd w:id="39"/>
    </w:p>
    <w:p w14:paraId="3A8A7F5B" w14:textId="77777777" w:rsidR="007F4791" w:rsidRPr="00A25F2C" w:rsidRDefault="007F4791" w:rsidP="007F4791">
      <w:pPr>
        <w:pStyle w:val="BodyText"/>
      </w:pPr>
      <w:r w:rsidRPr="00A25F2C">
        <w:t>The financial year 2023-24 will see the continued delivery and focus on:</w:t>
      </w:r>
    </w:p>
    <w:p w14:paraId="6E44A118" w14:textId="77777777" w:rsidR="007F4791" w:rsidRPr="00A25F2C" w:rsidRDefault="007F4791" w:rsidP="00D5346E">
      <w:pPr>
        <w:pStyle w:val="ListBullet"/>
      </w:pPr>
      <w:r w:rsidRPr="00A25F2C">
        <w:t>an additional 1000 hectares of catchment stewardship improving the health and resilience of the Port Phillip and Westernport catchment</w:t>
      </w:r>
    </w:p>
    <w:p w14:paraId="59E50A28" w14:textId="77777777" w:rsidR="007F4791" w:rsidRPr="00A25F2C" w:rsidRDefault="007F4791" w:rsidP="00D5346E">
      <w:pPr>
        <w:pStyle w:val="ListBullet"/>
      </w:pPr>
      <w:r w:rsidRPr="00A25F2C">
        <w:t>Traditional Owner self-determined pathway to improving cultural values and enterprise</w:t>
      </w:r>
    </w:p>
    <w:p w14:paraId="42C384DC" w14:textId="77777777" w:rsidR="007F4791" w:rsidRPr="00A25F2C" w:rsidRDefault="007F4791" w:rsidP="00D5346E">
      <w:pPr>
        <w:pStyle w:val="ListBullet"/>
        <w:rPr>
          <w:i/>
        </w:rPr>
      </w:pPr>
      <w:r w:rsidRPr="00A25F2C">
        <w:t xml:space="preserve">delivery of priorities identified in the </w:t>
      </w:r>
      <w:r w:rsidRPr="00A25F2C">
        <w:rPr>
          <w:i/>
        </w:rPr>
        <w:t>Healthy Waterways Strategy</w:t>
      </w:r>
      <w:r w:rsidRPr="00A25F2C">
        <w:t xml:space="preserve">, </w:t>
      </w:r>
      <w:r w:rsidRPr="00A25F2C">
        <w:rPr>
          <w:i/>
        </w:rPr>
        <w:t>Regional Catchment Strategy</w:t>
      </w:r>
      <w:r w:rsidRPr="00A25F2C">
        <w:t xml:space="preserve">, </w:t>
      </w:r>
      <w:r w:rsidRPr="00A25F2C">
        <w:rPr>
          <w:i/>
        </w:rPr>
        <w:t>Melbourne Water Drinking Water Quality Strategy</w:t>
      </w:r>
      <w:r w:rsidRPr="00A25F2C">
        <w:t xml:space="preserve">, </w:t>
      </w:r>
      <w:r w:rsidRPr="00A25F2C">
        <w:rPr>
          <w:i/>
        </w:rPr>
        <w:t xml:space="preserve">Catchment-scale Integrated Water Management </w:t>
      </w:r>
      <w:proofErr w:type="gramStart"/>
      <w:r w:rsidRPr="00A25F2C">
        <w:rPr>
          <w:i/>
        </w:rPr>
        <w:t>Plan</w:t>
      </w:r>
      <w:proofErr w:type="gramEnd"/>
      <w:r w:rsidRPr="00A25F2C">
        <w:rPr>
          <w:i/>
        </w:rPr>
        <w:t xml:space="preserve"> </w:t>
      </w:r>
      <w:r w:rsidRPr="00A25F2C">
        <w:t xml:space="preserve">and actions in the </w:t>
      </w:r>
      <w:r w:rsidRPr="00A25F2C">
        <w:rPr>
          <w:i/>
        </w:rPr>
        <w:t>Yarra Strategic Plan</w:t>
      </w:r>
    </w:p>
    <w:p w14:paraId="61CCCE14" w14:textId="77777777" w:rsidR="007F4791" w:rsidRPr="00A25F2C" w:rsidRDefault="007F4791" w:rsidP="00D5346E">
      <w:pPr>
        <w:pStyle w:val="ListBullet"/>
      </w:pPr>
      <w:r w:rsidRPr="00A25F2C">
        <w:t>activating spaces and connecting communities with the creation of new cool green spaces</w:t>
      </w:r>
    </w:p>
    <w:p w14:paraId="090AAD29" w14:textId="77777777" w:rsidR="007F4791" w:rsidRPr="00A25F2C" w:rsidRDefault="007F4791" w:rsidP="00D5346E">
      <w:pPr>
        <w:pStyle w:val="ListBullet"/>
      </w:pPr>
      <w:r w:rsidRPr="00A25F2C">
        <w:t>partnership between key stakeholders, bringing alignment and resources together</w:t>
      </w:r>
    </w:p>
    <w:p w14:paraId="79A1B3D7" w14:textId="77777777" w:rsidR="007F4791" w:rsidRPr="00A25F2C" w:rsidRDefault="007F4791" w:rsidP="00D5346E">
      <w:pPr>
        <w:pStyle w:val="ListBullet"/>
      </w:pPr>
      <w:r w:rsidRPr="00A25F2C">
        <w:t xml:space="preserve">building skills, </w:t>
      </w:r>
      <w:proofErr w:type="gramStart"/>
      <w:r w:rsidRPr="00A25F2C">
        <w:t>knowledge</w:t>
      </w:r>
      <w:proofErr w:type="gramEnd"/>
      <w:r w:rsidRPr="00A25F2C">
        <w:t xml:space="preserve"> and capacity of landowners in restoring landscape function</w:t>
      </w:r>
    </w:p>
    <w:p w14:paraId="4B7D36EA" w14:textId="77777777" w:rsidR="007F4791" w:rsidRPr="00A25F2C" w:rsidRDefault="007F4791" w:rsidP="00D5346E">
      <w:pPr>
        <w:pStyle w:val="ListBullet"/>
      </w:pPr>
      <w:r w:rsidRPr="00A25F2C">
        <w:t>protecting biodiversity and waterway health, increasing nutrient and water cycling, and building soil carbon</w:t>
      </w:r>
    </w:p>
    <w:p w14:paraId="1DB099EF" w14:textId="77777777" w:rsidR="007F4791" w:rsidRPr="00A25F2C" w:rsidRDefault="007F4791" w:rsidP="00D5346E">
      <w:pPr>
        <w:pStyle w:val="ListBullet"/>
        <w:rPr>
          <w:i/>
        </w:rPr>
      </w:pPr>
      <w:r w:rsidRPr="00A25F2C">
        <w:t xml:space="preserve">reducing drinking water quality risk in the mid-Yarra catchment to support safe, prudent, and efficient drinking water supply, and meet outcomes of the </w:t>
      </w:r>
      <w:r w:rsidRPr="00A25F2C">
        <w:rPr>
          <w:i/>
        </w:rPr>
        <w:t>Melbourne Water Drinking Water Quality Strategy</w:t>
      </w:r>
    </w:p>
    <w:p w14:paraId="264B54CE" w14:textId="77777777" w:rsidR="00143D6B" w:rsidRDefault="007F4791" w:rsidP="00D5346E">
      <w:pPr>
        <w:pStyle w:val="ListBullet"/>
      </w:pPr>
      <w:r w:rsidRPr="00A25F2C">
        <w:t>building a framework to create future release sites and habitat corridors for the Helmeted Honeyeater and lowland Leadbeater’s Possum.</w:t>
      </w:r>
    </w:p>
    <w:p w14:paraId="2B6326FE" w14:textId="369C53E5" w:rsidR="007F4791" w:rsidRDefault="007F4791" w:rsidP="007F4791">
      <w:pPr>
        <w:pStyle w:val="BodyText"/>
        <w:rPr>
          <w:b/>
        </w:rPr>
      </w:pPr>
      <w:r w:rsidRPr="00A25F2C">
        <w:rPr>
          <w:b/>
        </w:rPr>
        <w:lastRenderedPageBreak/>
        <w:t>Delivering on</w:t>
      </w:r>
    </w:p>
    <w:p w14:paraId="35688FF9" w14:textId="23E02C47" w:rsidR="00025489" w:rsidRPr="00025489" w:rsidRDefault="00025489" w:rsidP="00025489">
      <w:pPr>
        <w:pStyle w:val="ListBullet"/>
      </w:pPr>
      <w:r w:rsidRPr="00025489">
        <w:t>Sustainable Development Goal 10: Reduced Inequalities</w:t>
      </w:r>
    </w:p>
    <w:p w14:paraId="076807B8" w14:textId="6D94DAB6" w:rsidR="00025489" w:rsidRPr="00025489" w:rsidRDefault="00025489" w:rsidP="00025489">
      <w:pPr>
        <w:pStyle w:val="ListBullet"/>
      </w:pPr>
      <w:r w:rsidRPr="00025489">
        <w:t>Sustainable Development Goal 14: Life Below Water</w:t>
      </w:r>
    </w:p>
    <w:p w14:paraId="3CFCE387" w14:textId="079F3729" w:rsidR="00025489" w:rsidRPr="00025489" w:rsidRDefault="00025489" w:rsidP="00025489">
      <w:pPr>
        <w:pStyle w:val="ListBullet"/>
      </w:pPr>
      <w:r w:rsidRPr="00025489">
        <w:t xml:space="preserve">Sustainable Development Goal 15: Life </w:t>
      </w:r>
      <w:proofErr w:type="gramStart"/>
      <w:r w:rsidRPr="00025489">
        <w:t>On</w:t>
      </w:r>
      <w:proofErr w:type="gramEnd"/>
      <w:r w:rsidRPr="00025489">
        <w:t xml:space="preserve"> Land</w:t>
      </w:r>
    </w:p>
    <w:p w14:paraId="4CB18909" w14:textId="4EA66068" w:rsidR="00025489" w:rsidRPr="00025489" w:rsidRDefault="00025489" w:rsidP="00025489">
      <w:pPr>
        <w:pStyle w:val="ListBullet"/>
      </w:pPr>
      <w:r w:rsidRPr="00025489">
        <w:t xml:space="preserve">Sustainable Development Goal 16: Peace, </w:t>
      </w:r>
      <w:proofErr w:type="gramStart"/>
      <w:r w:rsidRPr="00025489">
        <w:t>Justice</w:t>
      </w:r>
      <w:proofErr w:type="gramEnd"/>
      <w:r w:rsidRPr="00025489">
        <w:t xml:space="preserve"> and Strong Institutions</w:t>
      </w:r>
    </w:p>
    <w:p w14:paraId="3D5342A6" w14:textId="65C85D1D" w:rsidR="00025489" w:rsidRPr="00A25F2C" w:rsidRDefault="00025489" w:rsidP="00025489">
      <w:pPr>
        <w:pStyle w:val="ListBullet"/>
      </w:pPr>
      <w:r w:rsidRPr="00025489">
        <w:t>Sustainable Development Goal 17: Partnerships for the Goals</w:t>
      </w:r>
    </w:p>
    <w:p w14:paraId="5EAF64C8" w14:textId="764085D8" w:rsidR="00143D6B" w:rsidRDefault="007F4791" w:rsidP="00FC6283">
      <w:pPr>
        <w:pStyle w:val="GreyBox"/>
      </w:pPr>
      <w:r w:rsidRPr="00A25F2C">
        <w:t>Water for Victoria chapters</w:t>
      </w:r>
      <w:r w:rsidR="00D5346E">
        <w:t xml:space="preserve"> 3 and 6</w:t>
      </w:r>
      <w:r w:rsidR="00FC6283">
        <w:t>.</w:t>
      </w:r>
    </w:p>
    <w:p w14:paraId="43671B07" w14:textId="135FD65D" w:rsidR="007F4791" w:rsidRPr="00A25F2C" w:rsidRDefault="007F4791" w:rsidP="007F4791">
      <w:pPr>
        <w:pStyle w:val="Heading2"/>
      </w:pPr>
      <w:bookmarkStart w:id="40" w:name="_Toc147756888"/>
      <w:r w:rsidRPr="00A25F2C">
        <w:t>Water for agriculture</w:t>
      </w:r>
      <w:bookmarkEnd w:id="40"/>
    </w:p>
    <w:p w14:paraId="2DD0920D" w14:textId="47A806A8" w:rsidR="007F4791" w:rsidRPr="00A25F2C" w:rsidRDefault="007F4791" w:rsidP="007F4791">
      <w:pPr>
        <w:pStyle w:val="BodyText"/>
      </w:pPr>
      <w:r w:rsidRPr="00A25F2C">
        <w:t>Around 45 per cent of Westernport and Port Phillip land is used for rural purposes, with approximately 5000 farms in the area. The land is highly productive on a per-hectare basis and one of the most productive areas in Victoria in terms of total agricultural output. However, the area of land available for agriculture is constantly at risk from being turned over for</w:t>
      </w:r>
      <w:r w:rsidR="00D5346E">
        <w:t xml:space="preserve"> </w:t>
      </w:r>
      <w:r w:rsidRPr="00A25F2C">
        <w:t>development for other uses. The profitability and sustainability of some agricultural sectors are also threatened by various factors including pests and climate change.</w:t>
      </w:r>
    </w:p>
    <w:p w14:paraId="04E11DC8" w14:textId="3CB12FC1" w:rsidR="007F4791" w:rsidRPr="00A25F2C" w:rsidRDefault="007F4791" w:rsidP="007F4791">
      <w:pPr>
        <w:pStyle w:val="BodyText"/>
      </w:pPr>
      <w:r w:rsidRPr="00A25F2C">
        <w:t xml:space="preserve">It is our vision to ensure the ring of rural and semi-rural land around urban Melbourne will continue to provide substantial benefits for the Victorian community, </w:t>
      </w:r>
      <w:proofErr w:type="gramStart"/>
      <w:r w:rsidRPr="00A25F2C">
        <w:t>economy</w:t>
      </w:r>
      <w:proofErr w:type="gramEnd"/>
      <w:r w:rsidRPr="00A25F2C">
        <w:t xml:space="preserve"> and environment. These areas will retain productive, </w:t>
      </w:r>
      <w:proofErr w:type="gramStart"/>
      <w:r w:rsidRPr="00A25F2C">
        <w:t>diverse</w:t>
      </w:r>
      <w:proofErr w:type="gramEnd"/>
      <w:r w:rsidR="00D5346E">
        <w:t xml:space="preserve"> </w:t>
      </w:r>
      <w:r w:rsidRPr="00A25F2C">
        <w:t>and sustainable agriculture enterprises and industries, bringing substantial economic benefit and assuring local food and water security for Victoria. They will simultaneously provide expansive green space, featuring natural habitats and open landscapes that support biodiversity and ecosystem health.</w:t>
      </w:r>
    </w:p>
    <w:p w14:paraId="4B402EB0" w14:textId="49746ACB" w:rsidR="007F4791" w:rsidRPr="00A25F2C" w:rsidRDefault="007F4791" w:rsidP="007F4791">
      <w:pPr>
        <w:pStyle w:val="BodyText"/>
      </w:pPr>
      <w:r w:rsidRPr="00A25F2C">
        <w:t xml:space="preserve">Melbourne Water is committed to maintaining sustainable agriculture and undertaking land management through delivering or supporting projects funded by the Victorian and Australian governments. We currently supply recycled water from our two sewage treatment plants to recycled water retailers to support agriculture across Melbourne. In addition, through our role as a </w:t>
      </w:r>
      <w:r w:rsidR="00322518">
        <w:t>Catchment Management Authority</w:t>
      </w:r>
      <w:r w:rsidRPr="00A25F2C">
        <w:t>, we support a productive and profitable irrigation sector, and vibrant and resilient regional communities that adapt to change.</w:t>
      </w:r>
    </w:p>
    <w:p w14:paraId="152ECBFA" w14:textId="77101376" w:rsidR="007F4791" w:rsidRPr="00A25F2C" w:rsidRDefault="007F4791" w:rsidP="007F4791">
      <w:pPr>
        <w:pStyle w:val="BodyText"/>
      </w:pPr>
      <w:r w:rsidRPr="00A25F2C">
        <w:t xml:space="preserve">Through the Linking Landscapes project, funded by the Victorian Government, Melbourne Water is supporting landowners in the Yarra Valley and on the Mornington Peninsula to build skills, </w:t>
      </w:r>
      <w:proofErr w:type="gramStart"/>
      <w:r w:rsidRPr="00A25F2C">
        <w:t>knowledge</w:t>
      </w:r>
      <w:proofErr w:type="gramEnd"/>
      <w:r w:rsidRPr="00A25F2C">
        <w:t xml:space="preserve"> and capacity to restore landscape function. Through a training program delivered by national experts, landholders will learn about protecting biodiversity, water quality and cultural values, increasing nutrient and</w:t>
      </w:r>
      <w:r w:rsidR="00D5346E">
        <w:t xml:space="preserve"> </w:t>
      </w:r>
      <w:r w:rsidRPr="00A25F2C">
        <w:t>water cycling, and building soil carbon through regenerative agriculture planning and practice. This program is delivered in partnership with Landcare groups and local business owners to provide practical insights for good practice operations.</w:t>
      </w:r>
    </w:p>
    <w:p w14:paraId="3F53E3E7" w14:textId="77777777" w:rsidR="007F4791" w:rsidRPr="00A25F2C" w:rsidRDefault="007F4791" w:rsidP="007F4791">
      <w:pPr>
        <w:pStyle w:val="BodyText"/>
      </w:pPr>
      <w:r w:rsidRPr="00A25F2C">
        <w:t>We are also currently working with the Australian Government to seek additional funding opportunities to continue delivering sustainable agriculture outcomes for the region.</w:t>
      </w:r>
    </w:p>
    <w:p w14:paraId="105AE399" w14:textId="35AB1FA9" w:rsidR="007F4791" w:rsidRPr="00A25F2C" w:rsidRDefault="007F4791" w:rsidP="00D5346E">
      <w:pPr>
        <w:pStyle w:val="Heading4"/>
      </w:pPr>
      <w:r w:rsidRPr="00A25F2C">
        <w:t>Supporting rural landowners to improve waterway health in the central sub-region</w:t>
      </w:r>
    </w:p>
    <w:p w14:paraId="0D419B7D" w14:textId="073315BA" w:rsidR="007F4791" w:rsidRPr="00A25F2C" w:rsidRDefault="007F4791" w:rsidP="007F4791">
      <w:pPr>
        <w:pStyle w:val="BodyText"/>
      </w:pPr>
      <w:r w:rsidRPr="00A25F2C">
        <w:t>Melbourne Water’s Rural Land Program advocates for best management practices that reduce the amount of nutrient and sediment runoff from rural properties entering waterways that flow into Port Phillip and WesternPort bays. Activities funded under the incentives program include farm planning</w:t>
      </w:r>
      <w:r w:rsidR="00D5346E">
        <w:t xml:space="preserve"> </w:t>
      </w:r>
      <w:r w:rsidRPr="00A25F2C">
        <w:t>and design, gully exclusion and revegetation, track and drainage improvements, stormwater harvesting and re-use, erosion control and sediment ponds, pasture improvement, effluent management, soil analysis and nutrient budgeting, off-stream/ dam stock watering and dam decommissioning.</w:t>
      </w:r>
    </w:p>
    <w:p w14:paraId="28F6C72E" w14:textId="77777777" w:rsidR="007F4791" w:rsidRPr="00A25F2C" w:rsidRDefault="007F4791" w:rsidP="007F4791">
      <w:pPr>
        <w:pStyle w:val="BodyText"/>
      </w:pPr>
      <w:r w:rsidRPr="00A25F2C">
        <w:lastRenderedPageBreak/>
        <w:t xml:space="preserve">In the Yarra catchment, Melbourne Water’s rural land officers engage with landholders and assist with the development of irrigation and drainage plans to improve runoff quality and meet targets under Melbourne Water’s </w:t>
      </w:r>
      <w:r w:rsidRPr="00A25F2C">
        <w:rPr>
          <w:i/>
        </w:rPr>
        <w:t xml:space="preserve">Healthy Waterways Strategy 2018 </w:t>
      </w:r>
      <w:r w:rsidRPr="00A25F2C">
        <w:t>performance objectives.</w:t>
      </w:r>
    </w:p>
    <w:p w14:paraId="1E43EF1A" w14:textId="77777777" w:rsidR="007F4791" w:rsidRPr="00A25F2C" w:rsidRDefault="007F4791" w:rsidP="007F4791">
      <w:pPr>
        <w:pStyle w:val="BodyText"/>
      </w:pPr>
      <w:r w:rsidRPr="00A25F2C">
        <w:t>Melbourne Water will continue to deliver regional Landcare coordination as part of the Victorian Government’s Victorian Landcare Program for the Port Phillip and Westernport region, delivering the Victorian Landcare Grants, capacity building opportunities and telling the Landcare story.</w:t>
      </w:r>
    </w:p>
    <w:p w14:paraId="2F38858C" w14:textId="77777777" w:rsidR="007F4791" w:rsidRPr="00A25F2C" w:rsidRDefault="007F4791" w:rsidP="007F4791">
      <w:pPr>
        <w:pStyle w:val="BodyText"/>
      </w:pPr>
      <w:r w:rsidRPr="00A25F2C">
        <w:t>A key focus for regional Landcare coordination will be to articulate the successes and challenges of contemporary environmental volunteering with a series of videos. In addition, continuing to design and support collaborative opportunities for professional and volunteer landcarers will also be a priority.</w:t>
      </w:r>
    </w:p>
    <w:p w14:paraId="2668222E" w14:textId="77777777" w:rsidR="007F4791" w:rsidRPr="00A25F2C" w:rsidRDefault="007F4791" w:rsidP="007F4791">
      <w:pPr>
        <w:pStyle w:val="BodyText"/>
      </w:pPr>
      <w:r w:rsidRPr="00A25F2C">
        <w:t>Melbourne Water will again administer the Port Phillip and Westernport component of the Victorian Landcare Grants in 2023, a flagship program for grassroots conservation and community partnerships.</w:t>
      </w:r>
    </w:p>
    <w:p w14:paraId="03F3FBC8" w14:textId="77777777" w:rsidR="007F4791" w:rsidRPr="00A25F2C" w:rsidRDefault="007F4791" w:rsidP="007F4791">
      <w:pPr>
        <w:pStyle w:val="BodyText"/>
      </w:pPr>
      <w:r w:rsidRPr="00A25F2C">
        <w:t>We will also continue working with the Australian Government to understand opportunities for funding to provide sustainable agriculture outcomes to the region.</w:t>
      </w:r>
    </w:p>
    <w:p w14:paraId="420EDC8E" w14:textId="77777777" w:rsidR="007F4791" w:rsidRPr="00A25F2C" w:rsidRDefault="007F4791" w:rsidP="00D5346E">
      <w:pPr>
        <w:pStyle w:val="Heading4"/>
      </w:pPr>
      <w:r w:rsidRPr="00A25F2C">
        <w:t>Compliance and enforcement</w:t>
      </w:r>
    </w:p>
    <w:p w14:paraId="4F301691" w14:textId="77777777" w:rsidR="007F4791" w:rsidRPr="00A25F2C" w:rsidRDefault="007F4791" w:rsidP="007F4791">
      <w:pPr>
        <w:pStyle w:val="BodyText"/>
      </w:pPr>
      <w:r w:rsidRPr="00A25F2C">
        <w:t xml:space="preserve">Our </w:t>
      </w:r>
      <w:r w:rsidRPr="00A25F2C">
        <w:rPr>
          <w:i/>
        </w:rPr>
        <w:t xml:space="preserve">Healthy Waterways Strategy 2018 </w:t>
      </w:r>
      <w:r w:rsidRPr="00A25F2C">
        <w:t xml:space="preserve">and </w:t>
      </w:r>
      <w:r w:rsidRPr="00A25F2C">
        <w:rPr>
          <w:i/>
        </w:rPr>
        <w:t xml:space="preserve">Stream Flow Management plans </w:t>
      </w:r>
      <w:r w:rsidRPr="00A25F2C">
        <w:t xml:space="preserve">provide guidance on our compliance and enforcement priorities, which are supported by our </w:t>
      </w:r>
      <w:r w:rsidRPr="00A25F2C">
        <w:rPr>
          <w:i/>
        </w:rPr>
        <w:t>Compliance and Enforcement Statement</w:t>
      </w:r>
      <w:r w:rsidRPr="00A25F2C">
        <w:t xml:space="preserve">. The statement outlines our approach to compliance and enforcement and was developed in accordance with the Victorian government’s </w:t>
      </w:r>
      <w:r w:rsidRPr="00A25F2C">
        <w:rPr>
          <w:i/>
        </w:rPr>
        <w:t>Non-Urban Compliance and Enforcement Guidelines for Water Corporations 2019</w:t>
      </w:r>
      <w:r w:rsidRPr="00A25F2C">
        <w:t>.</w:t>
      </w:r>
    </w:p>
    <w:p w14:paraId="6E983F0C" w14:textId="2C900FF9" w:rsidR="00143D6B" w:rsidRDefault="007F4791" w:rsidP="007F4791">
      <w:pPr>
        <w:pStyle w:val="BodyText"/>
      </w:pPr>
      <w:r w:rsidRPr="00A25F2C">
        <w:t>We are assigned the source bulk entitlements to the Greater Yarra System – Thomson River Pool. As the Resource Manager for the Melbourne headworks system, Melbourne Water allocates water to the primary entitlement holders and maintains reporting requirements by disclosing information</w:t>
      </w:r>
      <w:r w:rsidR="00D5346E">
        <w:t xml:space="preserve"> </w:t>
      </w:r>
      <w:r w:rsidRPr="00A25F2C">
        <w:t xml:space="preserve">in accordance with section 43 of the </w:t>
      </w:r>
      <w:r w:rsidRPr="00A25F2C">
        <w:rPr>
          <w:i/>
        </w:rPr>
        <w:t>Water Act 1989</w:t>
      </w:r>
      <w:r w:rsidRPr="00A25F2C">
        <w:t xml:space="preserve">. The disclosure of information of bulk entitlements is published every year through the </w:t>
      </w:r>
      <w:r w:rsidRPr="00A25F2C">
        <w:rPr>
          <w:i/>
        </w:rPr>
        <w:t>Annual Report</w:t>
      </w:r>
      <w:r w:rsidRPr="00A25F2C">
        <w:t>.</w:t>
      </w:r>
    </w:p>
    <w:p w14:paraId="60BCD9B4" w14:textId="3A767CA3" w:rsidR="007F4791" w:rsidRPr="00A25F2C" w:rsidRDefault="007F4791" w:rsidP="007F4791">
      <w:pPr>
        <w:pStyle w:val="BodyText"/>
      </w:pPr>
      <w:r w:rsidRPr="00A25F2C">
        <w:t xml:space="preserve">Melbourne Water manages approximately 1800 licences to use water from farm dams and waterways within the greater Melbourne region. Part of our role is to ensure the volume of water taken from these sources aligns with our </w:t>
      </w:r>
      <w:r w:rsidRPr="00A25F2C">
        <w:rPr>
          <w:i/>
        </w:rPr>
        <w:t xml:space="preserve">Stream Flow Management Plans </w:t>
      </w:r>
      <w:r w:rsidRPr="00A25F2C">
        <w:t>and is within the conditions of individual licences. We inform our customers about water availability through our website, customer service centre and automated text message service.</w:t>
      </w:r>
    </w:p>
    <w:p w14:paraId="47F8C9CC" w14:textId="77777777" w:rsidR="007F4791" w:rsidRPr="00A25F2C" w:rsidRDefault="007F4791" w:rsidP="007F4791">
      <w:pPr>
        <w:pStyle w:val="BodyText"/>
      </w:pPr>
      <w:r w:rsidRPr="00A25F2C">
        <w:t xml:space="preserve">Melbourne Water has a zero-tolerance approach to unauthorised water take and a risk-based approach to licence management. To support this, we are delivering our </w:t>
      </w:r>
      <w:r w:rsidRPr="00A25F2C">
        <w:rPr>
          <w:i/>
        </w:rPr>
        <w:t>Metering Action Plan</w:t>
      </w:r>
      <w:r w:rsidRPr="00A25F2C">
        <w:t xml:space="preserve">, which seeks to improve our meter fleet with highly reliable and accurate Australian Standard 4747 compliant meters and telemetry to provide real-time water usage data to Melbourne Water and our customers. The continuing rollout of the plan will ensure that we are fully compliant with the implementation program set by the </w:t>
      </w:r>
      <w:r w:rsidRPr="00A25F2C">
        <w:rPr>
          <w:i/>
        </w:rPr>
        <w:t>Victorian Metering Policy</w:t>
      </w:r>
      <w:r w:rsidRPr="00A25F2C">
        <w:t>.</w:t>
      </w:r>
    </w:p>
    <w:p w14:paraId="12828138" w14:textId="2E4FB63C" w:rsidR="007F4791" w:rsidRPr="00A25F2C" w:rsidRDefault="007F4791" w:rsidP="007F4791">
      <w:pPr>
        <w:pStyle w:val="BodyText"/>
      </w:pPr>
      <w:r w:rsidRPr="00A25F2C">
        <w:t>We have strengthened our communications to ensure our customers are aware of our zero-tolerance approach to compliance. We are actively undertaking pre-emptive</w:t>
      </w:r>
      <w:r w:rsidR="00D5346E">
        <w:t xml:space="preserve"> </w:t>
      </w:r>
      <w:r w:rsidRPr="00A25F2C">
        <w:t xml:space="preserve">communications, targeted towards diverters that have been identified as at risk of taking water </w:t>
      </w:r>
      <w:proofErr w:type="gramStart"/>
      <w:r w:rsidRPr="00A25F2C">
        <w:t>in excess of</w:t>
      </w:r>
      <w:proofErr w:type="gramEnd"/>
      <w:r w:rsidRPr="00A25F2C">
        <w:t xml:space="preserve"> their allocation. In addition, we are incorporating messages that reinforce our compliance approach through multiple channels, including on our annual invoices, in the diverter newsletter, on our website and in person during property visits.</w:t>
      </w:r>
    </w:p>
    <w:p w14:paraId="33A3F798" w14:textId="77777777" w:rsidR="007F4791" w:rsidRPr="00A25F2C" w:rsidRDefault="007F4791" w:rsidP="007F4791">
      <w:pPr>
        <w:pStyle w:val="BodyText"/>
      </w:pPr>
      <w:r w:rsidRPr="00A25F2C">
        <w:t xml:space="preserve">We continue to build the capacity of our staff and systems to deliver our zero-tolerance approach. This is achieved through staff training, including completion of a Certificate IV in Government Investigations, appointment of authorised water officers, and our upgrades and improvements to our systems to automate, where possible, our compliance and enforcement reporting capabilities. This enhanced capability will assist Melbourne Water to support issuing fines through Penalty Infringement Notices, which will support our </w:t>
      </w:r>
      <w:r w:rsidRPr="00A25F2C">
        <w:lastRenderedPageBreak/>
        <w:t>enforcement approach by strengthening escalation pathways and provide another tool for enforcement, in addition to formal warnings and prosecution.</w:t>
      </w:r>
    </w:p>
    <w:p w14:paraId="3270F2BE" w14:textId="77777777" w:rsidR="00143D6B" w:rsidRDefault="007F4791" w:rsidP="007F4791">
      <w:pPr>
        <w:pStyle w:val="BodyText"/>
      </w:pPr>
      <w:r w:rsidRPr="00A25F2C">
        <w:t xml:space="preserve">To ensure the framework for managing water resources in specific systems is clear for licence holders and the community, Melbourne Water will work with the Victorian Government and Southern Rural Water as part of the actions stemming from </w:t>
      </w:r>
      <w:r w:rsidRPr="00A25F2C">
        <w:rPr>
          <w:i/>
        </w:rPr>
        <w:t xml:space="preserve">Water for Life </w:t>
      </w:r>
      <w:r w:rsidRPr="00A25F2C">
        <w:t>to ensure consistent messaging to improve water management and compliance information.</w:t>
      </w:r>
    </w:p>
    <w:p w14:paraId="0AC2AB35" w14:textId="1F87A927" w:rsidR="007F4791" w:rsidRPr="00A25F2C" w:rsidRDefault="007F4791" w:rsidP="007F4791">
      <w:pPr>
        <w:pStyle w:val="Heading2"/>
      </w:pPr>
      <w:bookmarkStart w:id="41" w:name="_Toc147756889"/>
      <w:r w:rsidRPr="00A25F2C">
        <w:t>Recognising recreational values</w:t>
      </w:r>
      <w:bookmarkEnd w:id="41"/>
    </w:p>
    <w:p w14:paraId="692ECCCB" w14:textId="77777777" w:rsidR="007F4791" w:rsidRPr="00A25F2C" w:rsidRDefault="007F4791" w:rsidP="007F4791">
      <w:pPr>
        <w:pStyle w:val="BodyText"/>
      </w:pPr>
      <w:r w:rsidRPr="00A25F2C">
        <w:t>As the second largest public landowner in the state, Melbourne Water manages over 25,000 kilometres of waterways and an extensive drainage network stretching across 128,000 hectares of urban, semi-urban and rural land.</w:t>
      </w:r>
    </w:p>
    <w:p w14:paraId="43737EF5" w14:textId="77777777" w:rsidR="007F4791" w:rsidRPr="00A25F2C" w:rsidRDefault="007F4791" w:rsidP="007F4791">
      <w:pPr>
        <w:pStyle w:val="BodyText"/>
      </w:pPr>
      <w:r w:rsidRPr="00A25F2C">
        <w:t xml:space="preserve">In response to customer feedback, we are investing in the connection between communities and waterways, </w:t>
      </w:r>
      <w:proofErr w:type="gramStart"/>
      <w:r w:rsidRPr="00A25F2C">
        <w:t>land</w:t>
      </w:r>
      <w:proofErr w:type="gramEnd"/>
      <w:r w:rsidRPr="00A25F2C">
        <w:t xml:space="preserve"> and nature to help to improve physical and mental wellbeing and increase the value the community places on their local waterways and land.</w:t>
      </w:r>
    </w:p>
    <w:p w14:paraId="40DA5678" w14:textId="77777777" w:rsidR="007F4791" w:rsidRPr="00A25F2C" w:rsidRDefault="007F4791" w:rsidP="00D5346E">
      <w:pPr>
        <w:pStyle w:val="Heading3"/>
      </w:pPr>
      <w:bookmarkStart w:id="42" w:name="_Toc147756890"/>
      <w:r w:rsidRPr="00A25F2C">
        <w:t>What we do now</w:t>
      </w:r>
      <w:bookmarkEnd w:id="42"/>
    </w:p>
    <w:p w14:paraId="4F282303" w14:textId="4EE9EFB4" w:rsidR="007F4791" w:rsidRPr="00A25F2C" w:rsidRDefault="007F4791" w:rsidP="007F4791">
      <w:pPr>
        <w:pStyle w:val="BodyText"/>
      </w:pPr>
      <w:r w:rsidRPr="00A25F2C">
        <w:t xml:space="preserve">Melbourne Water continues to evolve and develop our policies, </w:t>
      </w:r>
      <w:proofErr w:type="gramStart"/>
      <w:r w:rsidRPr="00A25F2C">
        <w:t>projects</w:t>
      </w:r>
      <w:proofErr w:type="gramEnd"/>
      <w:r w:rsidRPr="00A25F2C">
        <w:t xml:space="preserve"> and practices to enhance recreational use of waterways and land. We are ensuring that Victoria’s water</w:t>
      </w:r>
      <w:r w:rsidR="00D5346E">
        <w:t xml:space="preserve"> </w:t>
      </w:r>
      <w:r w:rsidRPr="00A25F2C">
        <w:t xml:space="preserve">resources and waterways are managed in a way that considers their environmental benefits and value, </w:t>
      </w:r>
      <w:proofErr w:type="gramStart"/>
      <w:r w:rsidRPr="00A25F2C">
        <w:t>and also</w:t>
      </w:r>
      <w:proofErr w:type="gramEnd"/>
      <w:r w:rsidRPr="00A25F2C">
        <w:t xml:space="preserve"> the social and recreational uses and values of waterways.</w:t>
      </w:r>
    </w:p>
    <w:p w14:paraId="51D41CCE" w14:textId="77777777" w:rsidR="007F4791" w:rsidRPr="00A25F2C" w:rsidRDefault="007F4791" w:rsidP="007F4791">
      <w:pPr>
        <w:pStyle w:val="BodyText"/>
      </w:pPr>
      <w:r w:rsidRPr="00A25F2C">
        <w:t xml:space="preserve">Summer freshes for the Yarra (Birrarung) and Tarago rivers were delivered over long weekends to support canoeing, </w:t>
      </w:r>
      <w:proofErr w:type="gramStart"/>
      <w:r w:rsidRPr="00A25F2C">
        <w:t>fishing</w:t>
      </w:r>
      <w:proofErr w:type="gramEnd"/>
      <w:r w:rsidRPr="00A25F2C">
        <w:t xml:space="preserve"> and camping along the waterways. The summer/autumn freshes along Jacksons Creek provided enhanced water quality for amenity value through the popular parks in Gisborne.</w:t>
      </w:r>
    </w:p>
    <w:p w14:paraId="3415AC71" w14:textId="4B593328" w:rsidR="007F4791" w:rsidRPr="00A25F2C" w:rsidRDefault="007F4791" w:rsidP="007F4791">
      <w:pPr>
        <w:pStyle w:val="BodyText"/>
      </w:pPr>
      <w:r w:rsidRPr="00A25F2C">
        <w:t>To support recreational water users, we continue to publish a range of information on our website. This includes information about river levels across the Melbourne region, locations</w:t>
      </w:r>
      <w:r w:rsidR="00D5346E">
        <w:t xml:space="preserve"> </w:t>
      </w:r>
      <w:r w:rsidRPr="00A25F2C">
        <w:t>for recreational activities such as walking and cycling trails, barbecue and picnic spots and birdwatching, and fishing requirements.</w:t>
      </w:r>
    </w:p>
    <w:p w14:paraId="19579483" w14:textId="2562FF80" w:rsidR="007F4791" w:rsidRPr="00A25F2C" w:rsidRDefault="007F4791" w:rsidP="007F4791">
      <w:pPr>
        <w:pStyle w:val="BodyText"/>
      </w:pPr>
      <w:r w:rsidRPr="00A25F2C">
        <w:t>We are also supporting access to open spaces and recreation on our waterways and land by progressing projects, including</w:t>
      </w:r>
      <w:r w:rsidR="00D5346E">
        <w:t xml:space="preserve"> </w:t>
      </w:r>
      <w:r w:rsidRPr="00A25F2C">
        <w:t>recreational paddling access, the Revitalising Yan Yean Reservoir project and water pipe tracks for recreation, and greening sewer reserves for public use.</w:t>
      </w:r>
    </w:p>
    <w:p w14:paraId="4FE92547" w14:textId="77777777" w:rsidR="007F4791" w:rsidRPr="00A25F2C" w:rsidRDefault="007F4791" w:rsidP="007F4791">
      <w:pPr>
        <w:pStyle w:val="BodyText"/>
      </w:pPr>
      <w:r w:rsidRPr="00A25F2C">
        <w:t>Melbourne Water will consider recreational values in environmental planning, engage with the community to understand recreational objectives, and engage or collaborate with other organisations to achieve recreational outcomes and provide better information for recreational users. Actions include the delivery of or support for diverse community engagement activities in rural and urban areas, some of which include engagement with recreational activities along waterways.</w:t>
      </w:r>
    </w:p>
    <w:p w14:paraId="6ADF3466" w14:textId="036F1485" w:rsidR="007F4791" w:rsidRPr="00A25F2C" w:rsidRDefault="007F4791" w:rsidP="007F4791">
      <w:pPr>
        <w:pStyle w:val="BodyText"/>
      </w:pPr>
      <w:r w:rsidRPr="00A25F2C">
        <w:t xml:space="preserve">The water supply catchments and reservoirs around greater Melbourne are state-significant assets worth </w:t>
      </w:r>
      <w:proofErr w:type="gramStart"/>
      <w:r w:rsidRPr="00A25F2C">
        <w:t>approximately</w:t>
      </w:r>
      <w:r w:rsidR="00D5346E">
        <w:t xml:space="preserve">  </w:t>
      </w:r>
      <w:r w:rsidRPr="00A25F2C">
        <w:t>$</w:t>
      </w:r>
      <w:proofErr w:type="gramEnd"/>
      <w:r w:rsidRPr="00A25F2C">
        <w:t>10 billion to the Victorian community. In 2018, the Catchment Management Optimisation Program (CMOP) was initiated to inform how Melbourne Water will approach compliance with water quality requirements while also meeting the Victorian Government’s expectations to increase access and recreation across our catchments.</w:t>
      </w:r>
    </w:p>
    <w:p w14:paraId="21C0BDCD" w14:textId="60707FFD" w:rsidR="007F4791" w:rsidRPr="00A25F2C" w:rsidRDefault="007F4791" w:rsidP="007F4791">
      <w:pPr>
        <w:pStyle w:val="BodyText"/>
      </w:pPr>
      <w:r w:rsidRPr="00A25F2C">
        <w:t xml:space="preserve">Through the </w:t>
      </w:r>
      <w:r w:rsidR="001D7561">
        <w:t>Catchment Management Optimisation Program</w:t>
      </w:r>
      <w:r w:rsidRPr="00A25F2C">
        <w:t>, the Yan Yean Reservoir, north of Melbourne, was identified as a candidate catchment to provide cost-effective and low-risk opportunities for recreation.</w:t>
      </w:r>
      <w:r w:rsidR="00D5346E">
        <w:t xml:space="preserve"> </w:t>
      </w:r>
      <w:r w:rsidRPr="00A25F2C">
        <w:t xml:space="preserve">Opportunities for Yan Yean have subsequently been further investigated, and we are now working collaboratively with Parks Victoria, Wurundjeri Woi-wurrung Aboriginal Cultural Heritage </w:t>
      </w:r>
      <w:proofErr w:type="gramStart"/>
      <w:r w:rsidRPr="00A25F2C">
        <w:t>Corporation</w:t>
      </w:r>
      <w:proofErr w:type="gramEnd"/>
      <w:r w:rsidRPr="00A25F2C">
        <w:t xml:space="preserve"> and the City of Whittlesea to prepare a masterplan to guide enhancement of recreational and open space </w:t>
      </w:r>
      <w:r w:rsidRPr="00A25F2C">
        <w:lastRenderedPageBreak/>
        <w:t>opportunities for the community, while protecting the significant site values and water supply services the community relies on.</w:t>
      </w:r>
    </w:p>
    <w:p w14:paraId="7A3E1F5C" w14:textId="0A316304" w:rsidR="007F4791" w:rsidRPr="00A25F2C" w:rsidRDefault="007F4791" w:rsidP="007F4791">
      <w:pPr>
        <w:pStyle w:val="BodyText"/>
      </w:pPr>
      <w:r w:rsidRPr="00A25F2C">
        <w:t xml:space="preserve">In addition, Melbourne Water will continue to work </w:t>
      </w:r>
      <w:proofErr w:type="gramStart"/>
      <w:r w:rsidRPr="00A25F2C">
        <w:t xml:space="preserve">with </w:t>
      </w:r>
      <w:r w:rsidR="00E23BDC">
        <w:t xml:space="preserve"> Department</w:t>
      </w:r>
      <w:proofErr w:type="gramEnd"/>
      <w:r w:rsidR="00E23BDC">
        <w:t xml:space="preserve"> of Environment, Energy and Climate Action</w:t>
      </w:r>
      <w:r w:rsidRPr="00A25F2C">
        <w:t>, relevant partners and stakeholders to deliver our component of the $12.4 million election promise to open Tarago Reservoir for fishing and non-petrol boat opportunities. Melbourne Water has committed to providing water treatment upgrades and on-site facilities for fishing and boating access.</w:t>
      </w:r>
    </w:p>
    <w:p w14:paraId="6692E58B" w14:textId="0D196E83" w:rsidR="007F4791" w:rsidRPr="00A25F2C" w:rsidRDefault="007F4791" w:rsidP="007F4791">
      <w:pPr>
        <w:pStyle w:val="BodyText"/>
      </w:pPr>
      <w:r w:rsidRPr="00A25F2C">
        <w:t xml:space="preserve">As part of our lead role in the </w:t>
      </w:r>
      <w:r w:rsidRPr="00A25F2C">
        <w:rPr>
          <w:i/>
        </w:rPr>
        <w:t>Yarra Strategic Plan</w:t>
      </w:r>
      <w:r w:rsidRPr="00A25F2C">
        <w:t>, we will continue to work with partners to identify and deliver projects that also enhance recreation opportunities along the waterway. For example, the Yering Billabongs project led by Yarra Ranges Council, is returning a 100-hectare Crown land reserve on</w:t>
      </w:r>
      <w:r w:rsidR="00D5346E">
        <w:t xml:space="preserve"> </w:t>
      </w:r>
      <w:r w:rsidRPr="00A25F2C">
        <w:t xml:space="preserve">the Yarra River floodplain at Yering to public management. Associated works include floodplain restoration and revegetation, a firestick project pilot site, interpretive signage to share stories and Aboriginal cultural site </w:t>
      </w:r>
      <w:proofErr w:type="gramStart"/>
      <w:r w:rsidRPr="00A25F2C">
        <w:t>history, and</w:t>
      </w:r>
      <w:proofErr w:type="gramEnd"/>
      <w:r w:rsidRPr="00A25F2C">
        <w:t xml:space="preserve"> opening up the area for passive recreation.</w:t>
      </w:r>
    </w:p>
    <w:p w14:paraId="2C7CE867" w14:textId="77777777" w:rsidR="007F4791" w:rsidRPr="00A25F2C" w:rsidRDefault="007F4791" w:rsidP="00D5346E">
      <w:pPr>
        <w:pStyle w:val="Heading4"/>
      </w:pPr>
      <w:r w:rsidRPr="00A25F2C">
        <w:t>Waterways of the West</w:t>
      </w:r>
    </w:p>
    <w:p w14:paraId="54617C8E" w14:textId="787FBAAC" w:rsidR="00143D6B" w:rsidRDefault="007F4791" w:rsidP="007F4791">
      <w:pPr>
        <w:pStyle w:val="BodyText"/>
      </w:pPr>
      <w:r w:rsidRPr="00A25F2C">
        <w:t xml:space="preserve">Melbourne Water has continued to play a significant role in </w:t>
      </w:r>
      <w:r w:rsidRPr="00A25F2C">
        <w:rPr>
          <w:i/>
        </w:rPr>
        <w:t xml:space="preserve">The Waterways of the West Action Plan </w:t>
      </w:r>
      <w:r w:rsidRPr="00A25F2C">
        <w:t>released by the Department of Environment, Land, Water and Planning (</w:t>
      </w:r>
      <w:proofErr w:type="gramStart"/>
      <w:r w:rsidRPr="00A25F2C">
        <w:t xml:space="preserve">now </w:t>
      </w:r>
      <w:r w:rsidR="00E23BDC">
        <w:t xml:space="preserve"> Department</w:t>
      </w:r>
      <w:proofErr w:type="gramEnd"/>
      <w:r w:rsidR="00E23BDC">
        <w:t xml:space="preserve"> of Environment, Energy and Climate Action</w:t>
      </w:r>
      <w:r w:rsidRPr="00A25F2C">
        <w:t xml:space="preserve">) in 2021. The plan identifies ways to protect the waterways and green open spaces of Melbourne’s west. It assigns 16 actions directly to Melbourne Water, relating to planning and advocacy of waterway amenity, partnerships with Traditional Owners and delivery of stormwater performance objectives identified in the </w:t>
      </w:r>
      <w:r w:rsidRPr="00A25F2C">
        <w:rPr>
          <w:i/>
        </w:rPr>
        <w:t>Healthy Waterways Strategy 2018</w:t>
      </w:r>
      <w:r w:rsidRPr="00A25F2C">
        <w:t>. To date, Melbourne Water has completed, or is in the process of delivering, seven of the 16 assigned actions.</w:t>
      </w:r>
    </w:p>
    <w:p w14:paraId="6E0CB0D0" w14:textId="60F93B36" w:rsidR="007F4791" w:rsidRPr="00A25F2C" w:rsidRDefault="007F4791" w:rsidP="00D5346E">
      <w:pPr>
        <w:pStyle w:val="Heading4"/>
      </w:pPr>
      <w:r w:rsidRPr="00A25F2C">
        <w:t>Moonee Ponds Creek</w:t>
      </w:r>
    </w:p>
    <w:p w14:paraId="77E8098E" w14:textId="459C3D32" w:rsidR="007F4791" w:rsidRPr="00A25F2C" w:rsidRDefault="007F4791" w:rsidP="007F4791">
      <w:pPr>
        <w:pStyle w:val="BodyText"/>
      </w:pPr>
      <w:r w:rsidRPr="00A25F2C">
        <w:t xml:space="preserve">Melbourne Water will continue to deliver the Moonee Ponds Creek project on behalf of the Chain of Ponds Collaboration Group and in partnership with Merri-bek, Moonee Valley Council </w:t>
      </w:r>
      <w:proofErr w:type="gramStart"/>
      <w:r w:rsidRPr="00A25F2C">
        <w:t xml:space="preserve">and </w:t>
      </w:r>
      <w:r w:rsidR="00E23BDC">
        <w:t xml:space="preserve"> Department</w:t>
      </w:r>
      <w:proofErr w:type="gramEnd"/>
      <w:r w:rsidR="00E23BDC">
        <w:t xml:space="preserve"> of Environment, Energy and Climate Action</w:t>
      </w:r>
      <w:r w:rsidRPr="00A25F2C">
        <w:t xml:space="preserve">. Based on community feedback, works to remove concrete </w:t>
      </w:r>
      <w:proofErr w:type="gramStart"/>
      <w:r w:rsidRPr="00A25F2C">
        <w:t>panelling</w:t>
      </w:r>
      <w:proofErr w:type="gramEnd"/>
      <w:r w:rsidRPr="00A25F2C">
        <w:t xml:space="preserve"> and replace it with rocks, boulders and native plants will enable a cooler, healthier and more visually appealing environmental for increased recreational activities.</w:t>
      </w:r>
    </w:p>
    <w:p w14:paraId="1BC37F4E" w14:textId="77777777" w:rsidR="007F4791" w:rsidRPr="00A25F2C" w:rsidRDefault="007F4791" w:rsidP="007F4791">
      <w:pPr>
        <w:pStyle w:val="BodyText"/>
      </w:pPr>
      <w:r w:rsidRPr="00A25F2C">
        <w:t>The project is expected to be delivered by mid-2024 and is part of the $10 million Reimagining Your Creek Program which returns urban drains and channels back to natural waterways for community enjoyment.</w:t>
      </w:r>
    </w:p>
    <w:p w14:paraId="35F78A69" w14:textId="77777777" w:rsidR="007F4791" w:rsidRPr="00A25F2C" w:rsidRDefault="007F4791" w:rsidP="00D5346E">
      <w:pPr>
        <w:pStyle w:val="Heading4"/>
      </w:pPr>
      <w:r w:rsidRPr="00A25F2C">
        <w:t>Living Links</w:t>
      </w:r>
    </w:p>
    <w:p w14:paraId="7485A506" w14:textId="04D55196" w:rsidR="007F4791" w:rsidRPr="00A25F2C" w:rsidRDefault="007F4791" w:rsidP="007F4791">
      <w:pPr>
        <w:pStyle w:val="BodyText"/>
      </w:pPr>
      <w:r w:rsidRPr="00A25F2C">
        <w:t xml:space="preserve">Melbourne Water will continue to champion the work achieved via the </w:t>
      </w:r>
      <w:r w:rsidR="00E23BDC">
        <w:t>Port Phillip Westernport Catchment Management Authority</w:t>
      </w:r>
      <w:r w:rsidRPr="00A25F2C">
        <w:t>’s Living Links Program that seeks to create a web of green spaces across Melbourne’s south-east.</w:t>
      </w:r>
    </w:p>
    <w:p w14:paraId="4618D0F0" w14:textId="77777777" w:rsidR="007F4791" w:rsidRPr="00A25F2C" w:rsidRDefault="007F4791" w:rsidP="007F4791">
      <w:pPr>
        <w:pStyle w:val="BodyText"/>
      </w:pPr>
      <w:r w:rsidRPr="00A25F2C">
        <w:t>By linking up the many parks, reserves and other natural places across Melbourne, the project aims to make the Port Phillip and Westernport area a world-class urban ecosystem. This will improve habitat for wildlife and make it easier for people to connect with nature as part of their daily lives.</w:t>
      </w:r>
    </w:p>
    <w:p w14:paraId="41146778" w14:textId="77777777" w:rsidR="007F4791" w:rsidRPr="00A25F2C" w:rsidRDefault="007F4791" w:rsidP="00D5346E">
      <w:pPr>
        <w:pStyle w:val="Heading3"/>
      </w:pPr>
      <w:bookmarkStart w:id="43" w:name="_Toc147756891"/>
      <w:r w:rsidRPr="00A25F2C">
        <w:t>Our long-term plan</w:t>
      </w:r>
      <w:bookmarkEnd w:id="43"/>
    </w:p>
    <w:p w14:paraId="46D25018" w14:textId="77777777" w:rsidR="007F4791" w:rsidRPr="00A25F2C" w:rsidRDefault="007F4791" w:rsidP="007F4791">
      <w:pPr>
        <w:pStyle w:val="BodyText"/>
      </w:pPr>
      <w:r w:rsidRPr="00A25F2C">
        <w:t xml:space="preserve">Melbourne Water will continue to grow and develop our policies, </w:t>
      </w:r>
      <w:proofErr w:type="gramStart"/>
      <w:r w:rsidRPr="00A25F2C">
        <w:t>projects</w:t>
      </w:r>
      <w:proofErr w:type="gramEnd"/>
      <w:r w:rsidRPr="00A25F2C">
        <w:t xml:space="preserve"> and practices to enhance recreational use of waterways and land in line with the </w:t>
      </w:r>
      <w:r w:rsidRPr="00A25F2C">
        <w:rPr>
          <w:i/>
        </w:rPr>
        <w:t>Water and Catchment Legislation Amendment Act 2019</w:t>
      </w:r>
      <w:r w:rsidRPr="00A25F2C">
        <w:t>. This involves ensuring that Victoria’s water resources and waterways are managed in a way that not only considers their environmental benefits and value, but also the social and recreational uses and values of waterways.</w:t>
      </w:r>
    </w:p>
    <w:p w14:paraId="0D5778F8" w14:textId="77777777" w:rsidR="007F4791" w:rsidRPr="00A25F2C" w:rsidRDefault="007F4791" w:rsidP="006676B3">
      <w:pPr>
        <w:pStyle w:val="BodyText"/>
        <w:keepNext/>
      </w:pPr>
      <w:r w:rsidRPr="00A25F2C">
        <w:lastRenderedPageBreak/>
        <w:t>Our key focus areas for the coming years include:</w:t>
      </w:r>
    </w:p>
    <w:p w14:paraId="6FC88A2C" w14:textId="77777777" w:rsidR="007F4791" w:rsidRPr="00A25F2C" w:rsidRDefault="007F4791" w:rsidP="007F4791">
      <w:pPr>
        <w:pStyle w:val="ListBullet"/>
      </w:pPr>
      <w:r w:rsidRPr="00A25F2C">
        <w:t>creating and contributing to activated waterway corridors (through the Reimagining Your Creek Program)</w:t>
      </w:r>
    </w:p>
    <w:p w14:paraId="7B69B025" w14:textId="77777777" w:rsidR="007F4791" w:rsidRPr="00A25F2C" w:rsidRDefault="007F4791" w:rsidP="00F13D2F">
      <w:pPr>
        <w:pStyle w:val="ListBullet"/>
        <w:numPr>
          <w:ilvl w:val="0"/>
          <w:numId w:val="23"/>
        </w:numPr>
      </w:pPr>
      <w:r w:rsidRPr="00A25F2C">
        <w:t>enhancing recreational paddling access for kayaking and canoeing on our waterways</w:t>
      </w:r>
    </w:p>
    <w:p w14:paraId="20976684" w14:textId="77777777" w:rsidR="007F4791" w:rsidRPr="00A25F2C" w:rsidRDefault="007F4791" w:rsidP="007F4791">
      <w:pPr>
        <w:pStyle w:val="ListBullet"/>
      </w:pPr>
      <w:r w:rsidRPr="00A25F2C">
        <w:t>improving amenity through vegetation and managing litter</w:t>
      </w:r>
    </w:p>
    <w:p w14:paraId="6B449F28" w14:textId="77777777" w:rsidR="007F4791" w:rsidRPr="00A25F2C" w:rsidRDefault="007F4791" w:rsidP="007F4791">
      <w:pPr>
        <w:pStyle w:val="ListBullet"/>
      </w:pPr>
      <w:r w:rsidRPr="00A25F2C">
        <w:t>managing mosquitos</w:t>
      </w:r>
    </w:p>
    <w:p w14:paraId="429AAD21" w14:textId="77777777" w:rsidR="007F4791" w:rsidRPr="00A25F2C" w:rsidRDefault="007F4791" w:rsidP="007F4791">
      <w:pPr>
        <w:pStyle w:val="ListBullet"/>
      </w:pPr>
      <w:r w:rsidRPr="00A25F2C">
        <w:t>further involving the community through programs such as the Reimagining Your Creek Program</w:t>
      </w:r>
    </w:p>
    <w:p w14:paraId="42F09E89" w14:textId="77777777" w:rsidR="007F4791" w:rsidRPr="00A25F2C" w:rsidRDefault="007F4791" w:rsidP="007F4791">
      <w:pPr>
        <w:pStyle w:val="ListBullet"/>
      </w:pPr>
      <w:r w:rsidRPr="00A25F2C">
        <w:t>land and waterway activation through improved access and amenity.</w:t>
      </w:r>
    </w:p>
    <w:p w14:paraId="23FEB58E" w14:textId="01566563" w:rsidR="007F4791" w:rsidRPr="00A25F2C" w:rsidRDefault="007F4791" w:rsidP="007F4791">
      <w:pPr>
        <w:pStyle w:val="BodyText"/>
      </w:pPr>
      <w:r w:rsidRPr="00A25F2C">
        <w:t xml:space="preserve">Pursuing the opportunity for public access at Yan Yean Reservoir will continue, subject to collaborative funding, partnership arrangements and risk mitigation measures being put in place. Increased funding is also being sought through the </w:t>
      </w:r>
      <w:r w:rsidRPr="00A25F2C">
        <w:rPr>
          <w:i/>
        </w:rPr>
        <w:t xml:space="preserve">2021 Price Submission </w:t>
      </w:r>
      <w:r w:rsidRPr="00A25F2C">
        <w:t xml:space="preserve">to deliver the catchment management programs identified through the </w:t>
      </w:r>
      <w:r w:rsidR="001D7561">
        <w:t>Catchment Management Optimisation Program</w:t>
      </w:r>
      <w:r w:rsidRPr="00A25F2C">
        <w:t xml:space="preserve"> process, including additional catchment security, pest animal management and bushfire management.</w:t>
      </w:r>
    </w:p>
    <w:p w14:paraId="7D87BC82" w14:textId="3E19DCD6" w:rsidR="007F4791" w:rsidRPr="00A25F2C" w:rsidRDefault="007F4791" w:rsidP="00D5346E">
      <w:pPr>
        <w:pStyle w:val="Heading3"/>
      </w:pPr>
      <w:bookmarkStart w:id="44" w:name="_Toc147756892"/>
      <w:r w:rsidRPr="00A25F2C">
        <w:t>The year ahead</w:t>
      </w:r>
      <w:bookmarkEnd w:id="44"/>
    </w:p>
    <w:p w14:paraId="5B57C2B5" w14:textId="77777777" w:rsidR="007F4791" w:rsidRPr="00A25F2C" w:rsidRDefault="007F4791" w:rsidP="007F4791">
      <w:pPr>
        <w:pStyle w:val="BodyText"/>
      </w:pPr>
      <w:r w:rsidRPr="00A25F2C">
        <w:t xml:space="preserve">We will work to ensure that our Service Delivery Program enables liveability, with appropriate resourcing to deliver the </w:t>
      </w:r>
      <w:r w:rsidRPr="00A25F2C">
        <w:rPr>
          <w:i/>
        </w:rPr>
        <w:t xml:space="preserve">2021 Price Submission </w:t>
      </w:r>
      <w:r w:rsidRPr="00A25F2C">
        <w:t>capital programs and critical change projects that enable Service Delivery to proactively consider land and waterways activation in its day-to-day work.</w:t>
      </w:r>
    </w:p>
    <w:p w14:paraId="50D580C8" w14:textId="77777777" w:rsidR="007F4791" w:rsidRPr="00A25F2C" w:rsidRDefault="007F4791" w:rsidP="007F4791">
      <w:pPr>
        <w:pStyle w:val="BodyText"/>
      </w:pPr>
      <w:r w:rsidRPr="00A25F2C">
        <w:t xml:space="preserve">We will continue to develop the draft </w:t>
      </w:r>
      <w:r w:rsidRPr="00A25F2C">
        <w:rPr>
          <w:i/>
        </w:rPr>
        <w:t>Liveability Plan</w:t>
      </w:r>
      <w:r w:rsidRPr="00A25F2C">
        <w:t>, which outlines Melbourne Water’s position on the rationale for and outcomes of driving land and waterways activation, noting that delivering liveability outcomes relies on collaboration with other organisations who are well placed to deliver liveability and recreation outcomes, such as Parks Victoria and local government.</w:t>
      </w:r>
    </w:p>
    <w:p w14:paraId="29BA4922" w14:textId="77777777" w:rsidR="007F4791" w:rsidRPr="00A25F2C" w:rsidRDefault="007F4791" w:rsidP="007F4791">
      <w:pPr>
        <w:pStyle w:val="BodyText"/>
      </w:pPr>
      <w:r w:rsidRPr="00A25F2C">
        <w:t>We will continue to deliver the projects and programs within this current price submission period, including recreation in catchments, paddling platforms, urban cooling, retarding basin activation, pipe track activation and Western Treatment Plant visitation, where this aligns with Melbourne Water’s remit.</w:t>
      </w:r>
    </w:p>
    <w:p w14:paraId="6A9453F9" w14:textId="77777777" w:rsidR="007F4791" w:rsidRPr="00A25F2C" w:rsidRDefault="007F4791" w:rsidP="007F4791">
      <w:pPr>
        <w:pStyle w:val="BodyText"/>
      </w:pPr>
      <w:r w:rsidRPr="00A25F2C">
        <w:t xml:space="preserve">Melbourne Water will work to deliver additional social value including enhanced amenity and environmental targets for biodiversity through the </w:t>
      </w:r>
      <w:r w:rsidRPr="00A25F2C">
        <w:rPr>
          <w:i/>
        </w:rPr>
        <w:t xml:space="preserve">Healthy Waterways Strategy 2018 </w:t>
      </w:r>
      <w:r w:rsidRPr="00A25F2C">
        <w:t xml:space="preserve">and build on the 50-year community vision for the Yarra River through the </w:t>
      </w:r>
      <w:r w:rsidRPr="00A25F2C">
        <w:rPr>
          <w:i/>
        </w:rPr>
        <w:t xml:space="preserve">Yarra Strategic Plan </w:t>
      </w:r>
      <w:r w:rsidRPr="00A25F2C">
        <w:t xml:space="preserve">and </w:t>
      </w:r>
      <w:r w:rsidRPr="00A25F2C">
        <w:rPr>
          <w:i/>
        </w:rPr>
        <w:t>The Waterways of the West Action Plan</w:t>
      </w:r>
      <w:r w:rsidRPr="00A25F2C">
        <w:t>.</w:t>
      </w:r>
    </w:p>
    <w:p w14:paraId="57666141" w14:textId="77777777" w:rsidR="007F4791" w:rsidRPr="00A25F2C" w:rsidRDefault="007F4791" w:rsidP="007F4791">
      <w:pPr>
        <w:pStyle w:val="BodyText"/>
      </w:pPr>
      <w:r w:rsidRPr="00A25F2C">
        <w:t>As a significant landowner in Melbourne, we will invest in projects for urban greening in key areas around our waterways, through projects such as Greening the Pipeline.</w:t>
      </w:r>
    </w:p>
    <w:p w14:paraId="0DADE6BD" w14:textId="77777777" w:rsidR="007F4791" w:rsidRDefault="007F4791" w:rsidP="007F4791">
      <w:pPr>
        <w:pStyle w:val="BodyText"/>
        <w:rPr>
          <w:b/>
        </w:rPr>
      </w:pPr>
      <w:r w:rsidRPr="00A25F2C">
        <w:rPr>
          <w:b/>
        </w:rPr>
        <w:t>Delivering on</w:t>
      </w:r>
    </w:p>
    <w:p w14:paraId="69D04FCA" w14:textId="48C203AF" w:rsidR="00025489" w:rsidRPr="00025489" w:rsidRDefault="00025489" w:rsidP="00025489">
      <w:pPr>
        <w:pStyle w:val="ListBullet"/>
      </w:pPr>
      <w:r w:rsidRPr="00025489">
        <w:t>Sustainable Development Goal 3: Good Health and Well-being</w:t>
      </w:r>
    </w:p>
    <w:p w14:paraId="4F0057CE" w14:textId="605842E9" w:rsidR="00025489" w:rsidRPr="00A25F2C" w:rsidRDefault="00025489" w:rsidP="00025489">
      <w:pPr>
        <w:pStyle w:val="ListBullet"/>
      </w:pPr>
      <w:r w:rsidRPr="00025489">
        <w:t>Sustainable Development Goal 11: Sustainable Cities and Communities</w:t>
      </w:r>
    </w:p>
    <w:p w14:paraId="2BE2FD98" w14:textId="4F4438EB" w:rsidR="00143D6B" w:rsidRDefault="007F4791" w:rsidP="00FC6283">
      <w:pPr>
        <w:pStyle w:val="GreyBox"/>
      </w:pPr>
      <w:r w:rsidRPr="00A25F2C">
        <w:t>Water for Victoria</w:t>
      </w:r>
      <w:r w:rsidR="00D5346E">
        <w:t xml:space="preserve"> chapters 3 and 7</w:t>
      </w:r>
      <w:r w:rsidR="00FC6283">
        <w:t>.</w:t>
      </w:r>
    </w:p>
    <w:p w14:paraId="0B9E9992" w14:textId="50AA2F3C" w:rsidR="007F4791" w:rsidRPr="00A25F2C" w:rsidRDefault="007F4791" w:rsidP="007F4791">
      <w:pPr>
        <w:pStyle w:val="Heading2"/>
      </w:pPr>
      <w:bookmarkStart w:id="45" w:name="_Toc147756893"/>
      <w:r w:rsidRPr="00A25F2C">
        <w:t>Leadership and culture</w:t>
      </w:r>
      <w:bookmarkEnd w:id="45"/>
    </w:p>
    <w:p w14:paraId="5E762D42" w14:textId="77777777" w:rsidR="007F4791" w:rsidRPr="00A25F2C" w:rsidRDefault="007F4791" w:rsidP="007F4791">
      <w:pPr>
        <w:pStyle w:val="BodyText"/>
      </w:pPr>
      <w:r w:rsidRPr="00A25F2C">
        <w:t>To enable our strategic goals, Melbourne Water aims to manage and govern our business in a way that supports a high- performing organisation that is reliable for today and ready for tomorrow.</w:t>
      </w:r>
    </w:p>
    <w:p w14:paraId="547E480C" w14:textId="337D05B5" w:rsidR="007F4791" w:rsidRPr="00A25F2C" w:rsidRDefault="007F4791" w:rsidP="007F4791">
      <w:pPr>
        <w:pStyle w:val="BodyText"/>
      </w:pPr>
      <w:r w:rsidRPr="00A25F2C">
        <w:t xml:space="preserve">Our long-term goal is to align our skills, capabilities, accountabilities, resources and enabling processes to continue reliable service delivery while managing areas of transition, such as decarbonisation and climate change leadership, new and manufactured water sources, grid management transition and </w:t>
      </w:r>
      <w:r w:rsidR="00E23BDC">
        <w:t>Integrated Water Management</w:t>
      </w:r>
      <w:r w:rsidRPr="00A25F2C">
        <w:t>. To bring our desired outcomes to life, we will continue</w:t>
      </w:r>
      <w:r w:rsidR="00D5346E">
        <w:t xml:space="preserve"> </w:t>
      </w:r>
      <w:r w:rsidRPr="00A25F2C">
        <w:t xml:space="preserve">to focus on embedding the mindsets, </w:t>
      </w:r>
      <w:r w:rsidRPr="00A25F2C">
        <w:lastRenderedPageBreak/>
        <w:t>habits and behaviours required to help us adapt and respond to the challenges and opportunities of a rapidly changing environment.</w:t>
      </w:r>
    </w:p>
    <w:p w14:paraId="0B9ED565" w14:textId="77777777" w:rsidR="007F4791" w:rsidRPr="00D5346E" w:rsidRDefault="007F4791" w:rsidP="00D5346E">
      <w:pPr>
        <w:pStyle w:val="ListNumber"/>
        <w:numPr>
          <w:ilvl w:val="0"/>
          <w:numId w:val="22"/>
        </w:numPr>
      </w:pPr>
      <w:r w:rsidRPr="00A25F2C">
        <w:t xml:space="preserve">Culture </w:t>
      </w:r>
      <w:r w:rsidRPr="00D5346E">
        <w:t xml:space="preserve">and belonging – a workplace where we are aligned on expected behaviours, where everyone feels they can be their true self, and where they have a sense of connection to Melbourne Water, our vision, </w:t>
      </w:r>
      <w:proofErr w:type="gramStart"/>
      <w:r w:rsidRPr="00D5346E">
        <w:t>each other</w:t>
      </w:r>
      <w:proofErr w:type="gramEnd"/>
      <w:r w:rsidRPr="00D5346E">
        <w:t xml:space="preserve"> and the community we serve.</w:t>
      </w:r>
    </w:p>
    <w:p w14:paraId="676D3FC8" w14:textId="77777777" w:rsidR="007F4791" w:rsidRPr="00D5346E" w:rsidRDefault="007F4791" w:rsidP="00D5346E">
      <w:pPr>
        <w:pStyle w:val="ListNumber"/>
      </w:pPr>
      <w:r w:rsidRPr="00D5346E">
        <w:t>Leadership and capability – a workplace that builds the capability and leadership capacity we need for the future.</w:t>
      </w:r>
    </w:p>
    <w:p w14:paraId="6534CF6B" w14:textId="77777777" w:rsidR="007F4791" w:rsidRPr="00A25F2C" w:rsidRDefault="007F4791" w:rsidP="00D5346E">
      <w:pPr>
        <w:pStyle w:val="ListNumber"/>
      </w:pPr>
      <w:r w:rsidRPr="00D5346E">
        <w:t>People experience</w:t>
      </w:r>
      <w:r w:rsidRPr="00A25F2C">
        <w:t xml:space="preserve"> – a workplace that challenges and motivates our people to thrive.</w:t>
      </w:r>
    </w:p>
    <w:p w14:paraId="36062E10" w14:textId="0139DA49" w:rsidR="007F4791" w:rsidRPr="00A25F2C" w:rsidRDefault="007F4791" w:rsidP="00D5346E">
      <w:pPr>
        <w:pStyle w:val="Heading3"/>
      </w:pPr>
      <w:bookmarkStart w:id="46" w:name="_Toc147756894"/>
      <w:r w:rsidRPr="00A25F2C">
        <w:t>What we do now</w:t>
      </w:r>
      <w:bookmarkEnd w:id="46"/>
    </w:p>
    <w:p w14:paraId="2621EEC3" w14:textId="1D7AACC0" w:rsidR="007F4791" w:rsidRPr="00A25F2C" w:rsidRDefault="007F4791" w:rsidP="007F4791">
      <w:pPr>
        <w:pStyle w:val="BodyText"/>
      </w:pPr>
      <w:r w:rsidRPr="00A25F2C">
        <w:t xml:space="preserve">This year we began implementing our comprehensive Building a Better Melbourne Water (BBMW) program, which has been designed to improve how we meet customer expectations and support the provision of world-class services. A key component of </w:t>
      </w:r>
      <w:r w:rsidR="005C41F0" w:rsidRPr="005C41F0">
        <w:t>Building a Better Melbourne Water</w:t>
      </w:r>
      <w:r w:rsidRPr="00A25F2C">
        <w:t xml:space="preserve"> is ensuring we can continue to improve business outcomes for our customers by working in a more streamlined way, including with a simplified organisational structure which is now in place.</w:t>
      </w:r>
    </w:p>
    <w:p w14:paraId="7ED1653C" w14:textId="77777777" w:rsidR="007F4791" w:rsidRPr="00A25F2C" w:rsidRDefault="007F4791" w:rsidP="007F4791">
      <w:pPr>
        <w:pStyle w:val="BodyText"/>
      </w:pPr>
      <w:r w:rsidRPr="00A25F2C">
        <w:t xml:space="preserve">This change will ensure we can meet the challenges of the future, achieve our strategic </w:t>
      </w:r>
      <w:proofErr w:type="gramStart"/>
      <w:r w:rsidRPr="00A25F2C">
        <w:t>goals</w:t>
      </w:r>
      <w:proofErr w:type="gramEnd"/>
      <w:r w:rsidRPr="00A25F2C">
        <w:t xml:space="preserve"> and deliver improved outcomes in our day-to-day services for our partners, customers and the community we serve.</w:t>
      </w:r>
    </w:p>
    <w:p w14:paraId="4225AA0E" w14:textId="77777777" w:rsidR="007F4791" w:rsidRPr="00A25F2C" w:rsidRDefault="007F4791" w:rsidP="007F4791">
      <w:pPr>
        <w:pStyle w:val="BodyText"/>
      </w:pPr>
      <w:r w:rsidRPr="00A25F2C">
        <w:t xml:space="preserve">Through the implementation of a </w:t>
      </w:r>
      <w:r w:rsidRPr="00A25F2C">
        <w:rPr>
          <w:i/>
        </w:rPr>
        <w:t xml:space="preserve">Health, Safety and Wellbeing Strategy </w:t>
      </w:r>
      <w:r w:rsidRPr="00A25F2C">
        <w:t>and supporting work plan, Melbourne Water is continuing to focus on workplace safety as a priority.</w:t>
      </w:r>
    </w:p>
    <w:p w14:paraId="39F9AD48" w14:textId="77777777" w:rsidR="007F4791" w:rsidRPr="00A25F2C" w:rsidRDefault="007F4791" w:rsidP="00D5346E">
      <w:pPr>
        <w:pStyle w:val="Heading4"/>
      </w:pPr>
      <w:r w:rsidRPr="00A25F2C">
        <w:t>The benefits of a new normal way of working</w:t>
      </w:r>
    </w:p>
    <w:p w14:paraId="3A7986F6" w14:textId="77777777" w:rsidR="007F4791" w:rsidRPr="00A25F2C" w:rsidRDefault="007F4791" w:rsidP="007F4791">
      <w:pPr>
        <w:pStyle w:val="BodyText"/>
      </w:pPr>
      <w:r w:rsidRPr="00A25F2C">
        <w:t>In 2020-21, we partnered with BehaviourWorks Australia (BWA) to co-design a shared vision for how and where we work in the future that will reap benefits for individuals, the organisation and for our stakeholders. This shared vision was centred</w:t>
      </w:r>
    </w:p>
    <w:p w14:paraId="633B631B" w14:textId="2A7AF68D" w:rsidR="007F4791" w:rsidRPr="00A25F2C" w:rsidRDefault="007F4791" w:rsidP="007F4791">
      <w:pPr>
        <w:pStyle w:val="BodyText"/>
      </w:pPr>
      <w:r w:rsidRPr="00A25F2C">
        <w:t xml:space="preserve">around a future where work is consciously designed to optimise those in-person connection points, blended work and high- focused work moments that matter. Using the findings from the </w:t>
      </w:r>
      <w:r w:rsidR="001D7561">
        <w:t>BehaviourWorks Australia</w:t>
      </w:r>
      <w:r w:rsidRPr="00A25F2C">
        <w:t xml:space="preserve"> research, a program of interventions was agreed for implementation in 2022, including:</w:t>
      </w:r>
    </w:p>
    <w:p w14:paraId="7855F78B" w14:textId="77777777" w:rsidR="007F4791" w:rsidRPr="00A25F2C" w:rsidRDefault="007F4791" w:rsidP="007F4791">
      <w:pPr>
        <w:pStyle w:val="ListBullet"/>
      </w:pPr>
      <w:r w:rsidRPr="00A25F2C">
        <w:t>uplift to our workspace at Docklands to support in-person, blended and high focused work</w:t>
      </w:r>
    </w:p>
    <w:p w14:paraId="15068F8D" w14:textId="1452ADA8" w:rsidR="007F4791" w:rsidRPr="00A25F2C" w:rsidRDefault="007F4791" w:rsidP="00F13D2F">
      <w:pPr>
        <w:pStyle w:val="ListBullet"/>
        <w:numPr>
          <w:ilvl w:val="0"/>
          <w:numId w:val="21"/>
        </w:numPr>
      </w:pPr>
      <w:r w:rsidRPr="00A25F2C">
        <w:t xml:space="preserve">further research with </w:t>
      </w:r>
      <w:r w:rsidR="001D7561">
        <w:t>BehaviourWorks Australia</w:t>
      </w:r>
      <w:r w:rsidRPr="00A25F2C">
        <w:t xml:space="preserve"> to understand what barriers and enablers exist for frontline and operational workers to access flexible work arrangements</w:t>
      </w:r>
    </w:p>
    <w:p w14:paraId="37BDD809" w14:textId="77777777" w:rsidR="007F4791" w:rsidRPr="00A25F2C" w:rsidRDefault="007F4791" w:rsidP="007F4791">
      <w:pPr>
        <w:pStyle w:val="ListBullet"/>
      </w:pPr>
      <w:r w:rsidRPr="00A25F2C">
        <w:t>empowering people leaders to agree on new behavioural interventions to test and try at a local level through the development of social contracts.</w:t>
      </w:r>
    </w:p>
    <w:p w14:paraId="7C6B464C" w14:textId="241244BA" w:rsidR="007F4791" w:rsidRPr="00A25F2C" w:rsidRDefault="007F4791" w:rsidP="007F4791">
      <w:pPr>
        <w:pStyle w:val="BodyText"/>
      </w:pPr>
      <w:r w:rsidRPr="00A25F2C">
        <w:t xml:space="preserve">Further research was delivered in conjunction with </w:t>
      </w:r>
      <w:r w:rsidR="001D7561">
        <w:t>BehaviourWorks Australia</w:t>
      </w:r>
      <w:r w:rsidRPr="00A25F2C">
        <w:t xml:space="preserve"> in 2022 to understand what barriers and enablers exist for</w:t>
      </w:r>
      <w:r w:rsidR="00D5346E">
        <w:t xml:space="preserve"> </w:t>
      </w:r>
      <w:r w:rsidRPr="00A25F2C">
        <w:t xml:space="preserve">crew-based field and operations teams to access flexible work arrangements. A pilot group was identified to participate in this process from within Service Delivery, with one-on-one interviews and focus groups to elicit attitudes and perceptions. Following this, a series of workshops was conducted by </w:t>
      </w:r>
      <w:r w:rsidR="001D7561">
        <w:t>BehaviourWorks Australia</w:t>
      </w:r>
      <w:r w:rsidRPr="00A25F2C">
        <w:t xml:space="preserve"> with small teams from the pilot group, resulting in behavioural interventions that enabled a nine-day fortnight trial for</w:t>
      </w:r>
      <w:r w:rsidR="00D5346E">
        <w:t xml:space="preserve"> </w:t>
      </w:r>
      <w:r w:rsidRPr="00A25F2C">
        <w:t>teams previously unable to access any form of flexible work arrangements.</w:t>
      </w:r>
    </w:p>
    <w:p w14:paraId="41D1493E" w14:textId="673B64D3" w:rsidR="00143D6B" w:rsidRDefault="007F4791" w:rsidP="007F4791">
      <w:pPr>
        <w:pStyle w:val="BodyText"/>
      </w:pPr>
      <w:r w:rsidRPr="00A25F2C">
        <w:t>People leaders were empowered to develop new team norms and agreements in 2022 through the development of social contracts at a local level. While the intent of this process</w:t>
      </w:r>
      <w:r w:rsidR="00D5346E">
        <w:t xml:space="preserve"> </w:t>
      </w:r>
      <w:r w:rsidRPr="00A25F2C">
        <w:t>has generated some positive outcomes for the organisation regarding employee trust and engagement, there is more work to be done to help arrange the organisation around purposeful work best done together, as well as blended and high-focused work.</w:t>
      </w:r>
    </w:p>
    <w:p w14:paraId="5B417737" w14:textId="0D99013D" w:rsidR="007F4791" w:rsidRPr="00A25F2C" w:rsidRDefault="007F4791" w:rsidP="00D5346E">
      <w:pPr>
        <w:pStyle w:val="Heading3"/>
      </w:pPr>
      <w:bookmarkStart w:id="47" w:name="_Toc147756895"/>
      <w:r w:rsidRPr="00A25F2C">
        <w:lastRenderedPageBreak/>
        <w:t>Our long-term plan</w:t>
      </w:r>
      <w:bookmarkEnd w:id="47"/>
    </w:p>
    <w:p w14:paraId="79876421" w14:textId="77777777" w:rsidR="007F4791" w:rsidRPr="00A25F2C" w:rsidRDefault="007F4791" w:rsidP="007F4791">
      <w:pPr>
        <w:pStyle w:val="BodyText"/>
      </w:pPr>
      <w:r w:rsidRPr="00A25F2C">
        <w:t>We will combine behavioural research with physical space to ensure our new ways of working benefit from a blended arrangement to support employee value propositions with working from home, environmental outcomes with travel minimisation, and business effectiveness.</w:t>
      </w:r>
    </w:p>
    <w:p w14:paraId="5A192D17" w14:textId="77777777" w:rsidR="007F4791" w:rsidRPr="00A25F2C" w:rsidRDefault="007F4791" w:rsidP="007F4791">
      <w:pPr>
        <w:pStyle w:val="BodyText"/>
      </w:pPr>
      <w:r w:rsidRPr="00A25F2C">
        <w:t>Financial, customer, site access and energy utilisation data are currently being captured to understand how interventions are impacting the business and informing what further behavioural interventions may be required to enable Melbourne Water to deliver on its shared priorities in this decade that matters.</w:t>
      </w:r>
    </w:p>
    <w:p w14:paraId="12E3A2CD" w14:textId="2377C79C" w:rsidR="007F4791" w:rsidRPr="00A25F2C" w:rsidRDefault="007F4791" w:rsidP="00D5346E">
      <w:pPr>
        <w:pStyle w:val="Heading3"/>
      </w:pPr>
      <w:bookmarkStart w:id="48" w:name="_Toc147756896"/>
      <w:r w:rsidRPr="00A25F2C">
        <w:t>The year ahead</w:t>
      </w:r>
      <w:bookmarkEnd w:id="48"/>
    </w:p>
    <w:p w14:paraId="2D07EEA2" w14:textId="6C2CA1D8" w:rsidR="007F4791" w:rsidRPr="00A25F2C" w:rsidRDefault="007F4791" w:rsidP="007F4791">
      <w:pPr>
        <w:pStyle w:val="BodyText"/>
      </w:pPr>
      <w:r w:rsidRPr="00A25F2C">
        <w:t>In 2023 Melbourne Water will deliver a Concept Floor at the Docklands office to provide a range of tech-enabled spaces for larger groups to come together and work on shared</w:t>
      </w:r>
      <w:r w:rsidR="00D5346E">
        <w:t xml:space="preserve"> </w:t>
      </w:r>
      <w:r w:rsidRPr="00A25F2C">
        <w:t xml:space="preserve">priorities, either in person or blended. Once built, these spaces will support cross-functional working and organisational </w:t>
      </w:r>
      <w:proofErr w:type="gramStart"/>
      <w:r w:rsidRPr="00A25F2C">
        <w:t>effectiveness .</w:t>
      </w:r>
      <w:proofErr w:type="gramEnd"/>
    </w:p>
    <w:p w14:paraId="245A7F17" w14:textId="77777777" w:rsidR="007F4791" w:rsidRPr="00A25F2C" w:rsidRDefault="007F4791" w:rsidP="007F4791">
      <w:pPr>
        <w:pStyle w:val="BodyText"/>
      </w:pPr>
      <w:r w:rsidRPr="00A25F2C">
        <w:t>While we have established a solid cultural base and change program across the business, we are also implementing actions to help us identify the cultural traits and behaviours required from our teams to take us into the future and ensure we are embedding the outcomes of our operations model review. This will provide further opportunity to develop our culture and build strong, cohesive teams.</w:t>
      </w:r>
    </w:p>
    <w:p w14:paraId="3ECA5EB6" w14:textId="77777777" w:rsidR="007F4791" w:rsidRPr="00A25F2C" w:rsidRDefault="007F4791" w:rsidP="007F4791">
      <w:pPr>
        <w:pStyle w:val="BodyText"/>
      </w:pPr>
      <w:r w:rsidRPr="00A25F2C">
        <w:t>Over the coming years, Melbourne Water will work towards a workforce where representation of Aboriginal and/or Torres Strait Islander staff increases progressively each year.</w:t>
      </w:r>
    </w:p>
    <w:p w14:paraId="74A03F49" w14:textId="0749D2FC" w:rsidR="007F4791" w:rsidRPr="00A25F2C" w:rsidRDefault="007F4791" w:rsidP="007F4791">
      <w:pPr>
        <w:pStyle w:val="BodyText"/>
      </w:pPr>
      <w:r w:rsidRPr="00A25F2C">
        <w:t>Our workforce will also strive to achieve a progressive increase in representation of staff who identify as living with disability.</w:t>
      </w:r>
      <w:r w:rsidR="00D5346E">
        <w:t xml:space="preserve"> </w:t>
      </w:r>
    </w:p>
    <w:p w14:paraId="63FC50BD" w14:textId="77777777" w:rsidR="00143D6B" w:rsidRDefault="007F4791" w:rsidP="007F4791">
      <w:pPr>
        <w:pStyle w:val="BodyText"/>
      </w:pPr>
      <w:r w:rsidRPr="00A25F2C">
        <w:t>We will continue to improve accessibility to learning for our employees by providing access to targeted online tools, such as our development content library. This will mean our people can learn from anywhere, anytime.</w:t>
      </w:r>
    </w:p>
    <w:p w14:paraId="24CE88C5" w14:textId="618C71F3" w:rsidR="007F4791" w:rsidRDefault="007F4791" w:rsidP="007F4791">
      <w:pPr>
        <w:pStyle w:val="BodyText"/>
        <w:rPr>
          <w:b/>
        </w:rPr>
      </w:pPr>
      <w:r w:rsidRPr="00A25F2C">
        <w:rPr>
          <w:b/>
        </w:rPr>
        <w:t>Delivering on</w:t>
      </w:r>
    </w:p>
    <w:p w14:paraId="494A4DEB" w14:textId="4AA54337" w:rsidR="00025489" w:rsidRPr="00025489" w:rsidRDefault="00025489" w:rsidP="00025489">
      <w:pPr>
        <w:pStyle w:val="ListBullet"/>
      </w:pPr>
      <w:r w:rsidRPr="00025489">
        <w:t>Sustainable Development Goal 4: Quality Education</w:t>
      </w:r>
    </w:p>
    <w:p w14:paraId="429BFF32" w14:textId="30CB4531" w:rsidR="00025489" w:rsidRPr="00025489" w:rsidRDefault="00025489" w:rsidP="00025489">
      <w:pPr>
        <w:pStyle w:val="ListBullet"/>
      </w:pPr>
      <w:r w:rsidRPr="00025489">
        <w:t>Sustainable Development Goal 5: Gender Equality</w:t>
      </w:r>
    </w:p>
    <w:p w14:paraId="7599FE4C" w14:textId="4BDE4FAD" w:rsidR="00025489" w:rsidRPr="00025489" w:rsidRDefault="00025489" w:rsidP="00025489">
      <w:pPr>
        <w:pStyle w:val="ListBullet"/>
      </w:pPr>
      <w:r w:rsidRPr="00025489">
        <w:t>Sustainable Development Goal 8: Decent Work and Economic Growth</w:t>
      </w:r>
    </w:p>
    <w:p w14:paraId="2FBDA159" w14:textId="5A60EA84" w:rsidR="00025489" w:rsidRPr="00025489" w:rsidRDefault="00025489" w:rsidP="00025489">
      <w:pPr>
        <w:pStyle w:val="ListBullet"/>
      </w:pPr>
      <w:r w:rsidRPr="00025489">
        <w:t xml:space="preserve">Sustainable Development Goal 9: Industry, </w:t>
      </w:r>
      <w:proofErr w:type="gramStart"/>
      <w:r w:rsidRPr="00025489">
        <w:t>Innovation</w:t>
      </w:r>
      <w:proofErr w:type="gramEnd"/>
      <w:r w:rsidRPr="00025489">
        <w:t xml:space="preserve"> and Infrastructure</w:t>
      </w:r>
    </w:p>
    <w:p w14:paraId="565F6FFB" w14:textId="673E2EFC" w:rsidR="00025489" w:rsidRPr="00A25F2C" w:rsidRDefault="00025489" w:rsidP="00025489">
      <w:pPr>
        <w:pStyle w:val="ListBullet"/>
      </w:pPr>
      <w:r w:rsidRPr="00025489">
        <w:t>Sustainable Development Goal 10: Reduced Inequalities</w:t>
      </w:r>
    </w:p>
    <w:p w14:paraId="165E5448" w14:textId="11D6C428" w:rsidR="00143D6B" w:rsidRDefault="007F4791" w:rsidP="00FC6283">
      <w:pPr>
        <w:pStyle w:val="GreyBox"/>
      </w:pPr>
      <w:r w:rsidRPr="00A25F2C">
        <w:t>Water for Victoria</w:t>
      </w:r>
      <w:r w:rsidR="00D5346E">
        <w:t xml:space="preserve"> chapters 8 and 10</w:t>
      </w:r>
      <w:r w:rsidR="00FC6283">
        <w:t>.</w:t>
      </w:r>
    </w:p>
    <w:p w14:paraId="23D68BEB" w14:textId="43AE7228" w:rsidR="007F4791" w:rsidRPr="00A25F2C" w:rsidRDefault="007F4791" w:rsidP="007F4791">
      <w:pPr>
        <w:pStyle w:val="Heading2"/>
      </w:pPr>
      <w:bookmarkStart w:id="49" w:name="_Toc147756897"/>
      <w:r w:rsidRPr="00A25F2C">
        <w:t>Performance and financial sustainability</w:t>
      </w:r>
      <w:bookmarkEnd w:id="49"/>
    </w:p>
    <w:p w14:paraId="78C27F93" w14:textId="77777777" w:rsidR="007F4791" w:rsidRPr="00A25F2C" w:rsidRDefault="007F4791" w:rsidP="007F4791">
      <w:pPr>
        <w:pStyle w:val="BodyText"/>
      </w:pPr>
      <w:r w:rsidRPr="00A25F2C">
        <w:t xml:space="preserve">Customer affordability continues to be front of mind for government, </w:t>
      </w:r>
      <w:proofErr w:type="gramStart"/>
      <w:r w:rsidRPr="00A25F2C">
        <w:t>regulators</w:t>
      </w:r>
      <w:proofErr w:type="gramEnd"/>
      <w:r w:rsidRPr="00A25F2C">
        <w:t xml:space="preserve"> and essential service providers. Over the coming years, the shift to manufactured water, the impacts of climate change and population growth will place pressure on our financial choices. It is important that we have a financial plan that is informed by these changes over the short, </w:t>
      </w:r>
      <w:proofErr w:type="gramStart"/>
      <w:r w:rsidRPr="00A25F2C">
        <w:t>medium</w:t>
      </w:r>
      <w:proofErr w:type="gramEnd"/>
      <w:r w:rsidRPr="00A25F2C">
        <w:t xml:space="preserve"> and long term.</w:t>
      </w:r>
    </w:p>
    <w:p w14:paraId="58A52D00" w14:textId="77777777" w:rsidR="007F4791" w:rsidRPr="00A25F2C" w:rsidRDefault="007F4791" w:rsidP="007F4791">
      <w:pPr>
        <w:pStyle w:val="BodyText"/>
      </w:pPr>
      <w:r w:rsidRPr="00A25F2C">
        <w:t>The COVID-19 pandemic emphasised the issue of affordability and this has now been exacerbated by the changing economic landscape and general cost-of-living pressures being experienced across the population.</w:t>
      </w:r>
    </w:p>
    <w:p w14:paraId="53BC49EB" w14:textId="3CC953D1" w:rsidR="007F4791" w:rsidRPr="00A25F2C" w:rsidRDefault="007F4791" w:rsidP="007F4791">
      <w:pPr>
        <w:pStyle w:val="BodyText"/>
      </w:pPr>
      <w:r w:rsidRPr="00A25F2C">
        <w:t xml:space="preserve">We are committed to delivering outcomes in line with the Essential Services Commission’s (ESC) most recent Price Determination. We strive to outperform service and efficiency expectations which are measured through the </w:t>
      </w:r>
      <w:r w:rsidR="001D7561">
        <w:t>Essential Services Commission</w:t>
      </w:r>
      <w:r w:rsidRPr="00A25F2C">
        <w:t xml:space="preserve">’s </w:t>
      </w:r>
      <w:r w:rsidR="001D7561">
        <w:t>Performance, Risk, Engagement, Management and Outcomes</w:t>
      </w:r>
      <w:r w:rsidRPr="00A25F2C">
        <w:t xml:space="preserve"> Model for Economic Regulation.</w:t>
      </w:r>
    </w:p>
    <w:p w14:paraId="796C8BF1" w14:textId="77777777" w:rsidR="007F4791" w:rsidRPr="00A25F2C" w:rsidRDefault="007F4791" w:rsidP="007F4791">
      <w:pPr>
        <w:pStyle w:val="BodyText"/>
      </w:pPr>
      <w:r w:rsidRPr="00A25F2C">
        <w:lastRenderedPageBreak/>
        <w:t xml:space="preserve">Being a financially sustainable business means that we are conscious of the impacts of our decisions both today and in the future, and this approach ensures that we can deliver on our </w:t>
      </w:r>
      <w:r w:rsidRPr="00A25F2C">
        <w:rPr>
          <w:i/>
        </w:rPr>
        <w:t xml:space="preserve">2021 Price Submission </w:t>
      </w:r>
      <w:r w:rsidRPr="00A25F2C">
        <w:t>commitments over the remaining three years of the regulatory period.</w:t>
      </w:r>
    </w:p>
    <w:p w14:paraId="54419901" w14:textId="77777777" w:rsidR="007F4791" w:rsidRPr="00A25F2C" w:rsidRDefault="007F4791" w:rsidP="007F4791">
      <w:pPr>
        <w:pStyle w:val="BodyText"/>
      </w:pPr>
      <w:r w:rsidRPr="00A25F2C">
        <w:t>Financial sustainability is well embedded into Melbourne Water’s strategic objectives. We define financial sustainability as:</w:t>
      </w:r>
    </w:p>
    <w:p w14:paraId="7397B053" w14:textId="77777777" w:rsidR="007F4791" w:rsidRPr="00A25F2C" w:rsidRDefault="007F4791" w:rsidP="007F4791">
      <w:pPr>
        <w:pStyle w:val="ListBullet"/>
      </w:pPr>
      <w:r w:rsidRPr="00A25F2C">
        <w:t>continuing to deliver our valued services at the lowest cost to customers</w:t>
      </w:r>
    </w:p>
    <w:p w14:paraId="1D544EC0" w14:textId="77777777" w:rsidR="007F4791" w:rsidRPr="00A25F2C" w:rsidRDefault="007F4791" w:rsidP="007F4791">
      <w:pPr>
        <w:pStyle w:val="ListBullet"/>
      </w:pPr>
      <w:r w:rsidRPr="00A25F2C">
        <w:t>meeting our financial obligations both today and in the future</w:t>
      </w:r>
    </w:p>
    <w:p w14:paraId="465DD31F" w14:textId="77777777" w:rsidR="007F4791" w:rsidRPr="00A25F2C" w:rsidRDefault="007F4791" w:rsidP="007F4791">
      <w:pPr>
        <w:pStyle w:val="ListBullet"/>
      </w:pPr>
      <w:r w:rsidRPr="00A25F2C">
        <w:t>contributing to the broader Victorian budget by providing a return to our shareholder.</w:t>
      </w:r>
    </w:p>
    <w:p w14:paraId="18792F05" w14:textId="77777777" w:rsidR="007F4791" w:rsidRPr="00A25F2C" w:rsidRDefault="007F4791" w:rsidP="007F4791">
      <w:pPr>
        <w:pStyle w:val="BodyText"/>
      </w:pPr>
      <w:r w:rsidRPr="00A25F2C">
        <w:t>Melbourne Water remains focused on driving an efficient business that delivers value for money outcomes for our customers and stakeholders.</w:t>
      </w:r>
    </w:p>
    <w:p w14:paraId="7C0D95B9" w14:textId="77777777" w:rsidR="007F4791" w:rsidRPr="00A25F2C" w:rsidRDefault="007F4791" w:rsidP="007F4791">
      <w:pPr>
        <w:pStyle w:val="BodyText"/>
      </w:pPr>
      <w:r w:rsidRPr="00A25F2C">
        <w:t>Maintaining our financial strength is a key business goal that will help us to meet future challenges and deliver on the commitments we made to customers in our price submission.</w:t>
      </w:r>
    </w:p>
    <w:p w14:paraId="3035E247" w14:textId="2EBC6BCE" w:rsidR="007F4791" w:rsidRPr="00A25F2C" w:rsidRDefault="007F4791" w:rsidP="007F4791">
      <w:pPr>
        <w:pStyle w:val="BodyText"/>
      </w:pPr>
      <w:r w:rsidRPr="00A25F2C">
        <w:t xml:space="preserve">The Quality Assurance processes over the production of the </w:t>
      </w:r>
      <w:r w:rsidRPr="00A25F2C">
        <w:rPr>
          <w:i/>
        </w:rPr>
        <w:t xml:space="preserve">Corporate Plan </w:t>
      </w:r>
      <w:r w:rsidRPr="00A25F2C">
        <w:t xml:space="preserve">financials include a rigorous internal review process by management, endorsement by the Audit, Risk and Finance Committee and approval by the Board. Preparation of this plan is in line with </w:t>
      </w:r>
      <w:proofErr w:type="gramStart"/>
      <w:r w:rsidRPr="00A25F2C">
        <w:t xml:space="preserve">the </w:t>
      </w:r>
      <w:r w:rsidR="00E23BDC">
        <w:t xml:space="preserve"> Department</w:t>
      </w:r>
      <w:proofErr w:type="gramEnd"/>
      <w:r w:rsidR="00E23BDC">
        <w:t xml:space="preserve"> of Environment, Energy and Climate Action</w:t>
      </w:r>
      <w:r w:rsidRPr="00A25F2C">
        <w:t xml:space="preserve"> </w:t>
      </w:r>
      <w:r w:rsidRPr="00A25F2C">
        <w:rPr>
          <w:i/>
        </w:rPr>
        <w:t>Planning and Reporting Guidelines 2023-24</w:t>
      </w:r>
      <w:r w:rsidRPr="00A25F2C">
        <w:t>.</w:t>
      </w:r>
    </w:p>
    <w:p w14:paraId="1E36923D" w14:textId="45318224" w:rsidR="007F4791" w:rsidRPr="00A25F2C" w:rsidRDefault="007F4791" w:rsidP="00D5346E">
      <w:pPr>
        <w:pStyle w:val="Heading4"/>
      </w:pPr>
      <w:r w:rsidRPr="00A25F2C">
        <w:t>Our Financial Strength Plan</w:t>
      </w:r>
    </w:p>
    <w:p w14:paraId="2E94FCD6" w14:textId="77777777" w:rsidR="007F4791" w:rsidRPr="00A25F2C" w:rsidRDefault="007F4791" w:rsidP="007F4791">
      <w:pPr>
        <w:pStyle w:val="BodyText"/>
      </w:pPr>
      <w:r w:rsidRPr="00A25F2C">
        <w:t xml:space="preserve">In the past year Melbourne Water has developed a </w:t>
      </w:r>
      <w:r w:rsidRPr="00A25F2C">
        <w:rPr>
          <w:i/>
        </w:rPr>
        <w:t xml:space="preserve">Financial Strength Plan </w:t>
      </w:r>
      <w:r w:rsidRPr="00A25F2C">
        <w:t>that is informed by a range of current and emerging drivers in our strategic environment. These include:</w:t>
      </w:r>
    </w:p>
    <w:p w14:paraId="24B46CF2" w14:textId="77777777" w:rsidR="007F4791" w:rsidRPr="00A25F2C" w:rsidRDefault="007F4791" w:rsidP="007F4791">
      <w:pPr>
        <w:pStyle w:val="ListBullet"/>
      </w:pPr>
      <w:r w:rsidRPr="00A25F2C">
        <w:t xml:space="preserve">the need for business efficiency to keep customer bills low as a commitment in the </w:t>
      </w:r>
      <w:r w:rsidRPr="00A25F2C">
        <w:rPr>
          <w:i/>
        </w:rPr>
        <w:t>2021 Price Submission</w:t>
      </w:r>
      <w:r w:rsidRPr="00A25F2C">
        <w:t>. In addition, the focus on efficiency will underpin our approach and preparation for the next Pricing Submission in 2026</w:t>
      </w:r>
    </w:p>
    <w:p w14:paraId="38C4332A" w14:textId="77777777" w:rsidR="007F4791" w:rsidRPr="00A25F2C" w:rsidRDefault="007F4791" w:rsidP="007F4791">
      <w:pPr>
        <w:pStyle w:val="ListBullet"/>
      </w:pPr>
      <w:r w:rsidRPr="00A25F2C">
        <w:t>the need for a continued and increased focus on building financial capability and commercial acumen across the business to ensure commercially prudent and defensible investments and to extract maximum value from our contractual arrangements</w:t>
      </w:r>
    </w:p>
    <w:p w14:paraId="59EBB563" w14:textId="77777777" w:rsidR="007F4791" w:rsidRPr="00A25F2C" w:rsidRDefault="007F4791" w:rsidP="007F4791">
      <w:pPr>
        <w:pStyle w:val="ListBullet"/>
      </w:pPr>
      <w:r w:rsidRPr="00A25F2C">
        <w:t>the need to ensure continued financial viability in the face of potential business risks (climate, environmental, population)</w:t>
      </w:r>
    </w:p>
    <w:p w14:paraId="429A7CB8" w14:textId="77777777" w:rsidR="007F4791" w:rsidRPr="00A25F2C" w:rsidRDefault="007F4791" w:rsidP="007F4791">
      <w:pPr>
        <w:pStyle w:val="ListBullet"/>
      </w:pPr>
      <w:r w:rsidRPr="00A25F2C">
        <w:t>the need to build capacity to identify and develop unregulated revenue opportunities</w:t>
      </w:r>
    </w:p>
    <w:p w14:paraId="3BAF6BF2" w14:textId="77777777" w:rsidR="007F4791" w:rsidRPr="00A25F2C" w:rsidRDefault="007F4791" w:rsidP="007F4791">
      <w:pPr>
        <w:pStyle w:val="ListBullet"/>
      </w:pPr>
      <w:r w:rsidRPr="00A25F2C">
        <w:t>the need to increase transparency about the cost to serve given the substantial infrastructure investment requirements on the horizon</w:t>
      </w:r>
    </w:p>
    <w:p w14:paraId="53CCF93B" w14:textId="77777777" w:rsidR="007F4791" w:rsidRPr="00A25F2C" w:rsidRDefault="007F4791" w:rsidP="007F4791">
      <w:pPr>
        <w:pStyle w:val="ListBullet"/>
      </w:pPr>
      <w:r w:rsidRPr="00A25F2C">
        <w:t>the changing economic landscape with increased inflation and interest rates placing pressure on household budgets</w:t>
      </w:r>
    </w:p>
    <w:p w14:paraId="79822FDC" w14:textId="77777777" w:rsidR="007F4791" w:rsidRPr="00A25F2C" w:rsidRDefault="007F4791" w:rsidP="007F4791">
      <w:pPr>
        <w:pStyle w:val="ListBullet"/>
      </w:pPr>
      <w:r w:rsidRPr="00A25F2C">
        <w:t>significant carbon emission reduction obligations from 2025 and net zero carbon commitments from 2030.</w:t>
      </w:r>
    </w:p>
    <w:p w14:paraId="12730C8D" w14:textId="77777777" w:rsidR="007F4791" w:rsidRPr="00A25F2C" w:rsidRDefault="007F4791" w:rsidP="007F4791">
      <w:pPr>
        <w:pStyle w:val="BodyText"/>
      </w:pPr>
      <w:r w:rsidRPr="00A25F2C">
        <w:t xml:space="preserve">The objective of our </w:t>
      </w:r>
      <w:r w:rsidRPr="00A25F2C">
        <w:rPr>
          <w:i/>
        </w:rPr>
        <w:t xml:space="preserve">Financial Strength Plan </w:t>
      </w:r>
      <w:r w:rsidRPr="00A25F2C">
        <w:t>is to focus our activities to deliver for our customers in the decade that matters and strengthen our business. The key indicators of success for the plan include:</w:t>
      </w:r>
    </w:p>
    <w:p w14:paraId="62B539FD" w14:textId="77777777" w:rsidR="007F4791" w:rsidRPr="00A25F2C" w:rsidRDefault="007F4791" w:rsidP="007F4791">
      <w:pPr>
        <w:pStyle w:val="ListBullet"/>
      </w:pPr>
      <w:r w:rsidRPr="00A25F2C">
        <w:t>leaders at all levels make quality decisions that are adding value from a commercial perspective</w:t>
      </w:r>
    </w:p>
    <w:p w14:paraId="5D7E84A9" w14:textId="77777777" w:rsidR="007F4791" w:rsidRPr="00A25F2C" w:rsidRDefault="007F4791" w:rsidP="007F4791">
      <w:pPr>
        <w:pStyle w:val="ListBullet"/>
      </w:pPr>
      <w:r w:rsidRPr="00A25F2C">
        <w:t>key financial indicators remain steady or show ongoing improvement</w:t>
      </w:r>
    </w:p>
    <w:p w14:paraId="59B43ADC" w14:textId="77777777" w:rsidR="007F4791" w:rsidRPr="00A25F2C" w:rsidRDefault="007F4791" w:rsidP="007F4791">
      <w:pPr>
        <w:pStyle w:val="ListBullet"/>
      </w:pPr>
      <w:r w:rsidRPr="00A25F2C">
        <w:t>maintenance of Melbourne Water’s investment-grade credit rating</w:t>
      </w:r>
    </w:p>
    <w:p w14:paraId="7242E03D" w14:textId="77777777" w:rsidR="007F4791" w:rsidRPr="00A25F2C" w:rsidRDefault="007F4791" w:rsidP="007F4791">
      <w:pPr>
        <w:pStyle w:val="ListBullet"/>
      </w:pPr>
      <w:r w:rsidRPr="00A25F2C">
        <w:t>financial planning is no longer an annual event, but instead is part of continuous planning that alleviates significant peaks and troughs of planning activity and allows us to improve our long-term view to understand implications for the future of decisions made today</w:t>
      </w:r>
    </w:p>
    <w:p w14:paraId="0AA16798" w14:textId="77777777" w:rsidR="007F4791" w:rsidRPr="00A25F2C" w:rsidRDefault="007F4791" w:rsidP="007F4791">
      <w:pPr>
        <w:pStyle w:val="ListBullet"/>
      </w:pPr>
      <w:r w:rsidRPr="00A25F2C">
        <w:lastRenderedPageBreak/>
        <w:t>leaders are well-positioned to leverage the financial strength of the organisation to deliver our strategic intent</w:t>
      </w:r>
    </w:p>
    <w:p w14:paraId="6D0FE731" w14:textId="77777777" w:rsidR="007F4791" w:rsidRPr="00A25F2C" w:rsidRDefault="007F4791" w:rsidP="007F4791">
      <w:pPr>
        <w:pStyle w:val="ListBullet"/>
      </w:pPr>
      <w:r w:rsidRPr="00A25F2C">
        <w:t>shareholder relationship is strengthened because we continue to deliver a return on the shareholder’s investment</w:t>
      </w:r>
    </w:p>
    <w:p w14:paraId="08AF1871" w14:textId="77777777" w:rsidR="00143D6B" w:rsidRDefault="007F4791" w:rsidP="007F4791">
      <w:pPr>
        <w:pStyle w:val="ListBullet"/>
      </w:pPr>
      <w:r w:rsidRPr="00A25F2C">
        <w:t>Melbourne Water significantly reduces the organisational effort required to undertake a Price Submission, which enables more value-adding activities and outcomes for customers.</w:t>
      </w:r>
    </w:p>
    <w:p w14:paraId="4EA1CBDF" w14:textId="1E67A198" w:rsidR="007F4791" w:rsidRPr="00A25F2C" w:rsidRDefault="007F4791" w:rsidP="008B27EB">
      <w:pPr>
        <w:pStyle w:val="Heading3"/>
      </w:pPr>
      <w:bookmarkStart w:id="50" w:name="_Toc147756898"/>
      <w:r w:rsidRPr="00A25F2C">
        <w:t>The year ahead</w:t>
      </w:r>
      <w:bookmarkEnd w:id="50"/>
    </w:p>
    <w:p w14:paraId="30171A2E" w14:textId="77777777" w:rsidR="007F4791" w:rsidRPr="006676B3" w:rsidRDefault="007F4791" w:rsidP="007F4791">
      <w:pPr>
        <w:pStyle w:val="BodyText"/>
        <w:rPr>
          <w:spacing w:val="-2"/>
        </w:rPr>
      </w:pPr>
      <w:r w:rsidRPr="006676B3">
        <w:rPr>
          <w:spacing w:val="-2"/>
        </w:rPr>
        <w:t>We will look to identify financial efficiencies and alternative revenue utilising our data analytics capabilities, to enable us to deliver broader outcomes to the community.</w:t>
      </w:r>
    </w:p>
    <w:p w14:paraId="01542D55" w14:textId="77777777" w:rsidR="007F4791" w:rsidRPr="006676B3" w:rsidRDefault="007F4791" w:rsidP="007F4791">
      <w:pPr>
        <w:pStyle w:val="BodyText"/>
        <w:rPr>
          <w:spacing w:val="-2"/>
        </w:rPr>
      </w:pPr>
      <w:r w:rsidRPr="006676B3">
        <w:rPr>
          <w:spacing w:val="-2"/>
        </w:rPr>
        <w:t>We will have a long-term view on our price path and ensure that we are identifying early investment that can deliver long-run benefits.</w:t>
      </w:r>
    </w:p>
    <w:p w14:paraId="155BC875" w14:textId="77777777" w:rsidR="007F4791" w:rsidRPr="006676B3" w:rsidRDefault="007F4791" w:rsidP="007F4791">
      <w:pPr>
        <w:pStyle w:val="BodyText"/>
        <w:rPr>
          <w:spacing w:val="-2"/>
        </w:rPr>
      </w:pPr>
      <w:r w:rsidRPr="006676B3">
        <w:rPr>
          <w:spacing w:val="-2"/>
        </w:rPr>
        <w:t xml:space="preserve">We will continue to work towards our long-term goals and deliver the outcomes of our </w:t>
      </w:r>
      <w:r w:rsidRPr="006676B3">
        <w:rPr>
          <w:i/>
          <w:spacing w:val="-2"/>
        </w:rPr>
        <w:t>2021 Price Submission</w:t>
      </w:r>
      <w:r w:rsidRPr="006676B3">
        <w:rPr>
          <w:spacing w:val="-2"/>
        </w:rPr>
        <w:t>.</w:t>
      </w:r>
    </w:p>
    <w:p w14:paraId="7D25FB48" w14:textId="77777777" w:rsidR="007F4791" w:rsidRPr="006676B3" w:rsidRDefault="007F4791" w:rsidP="007F4791">
      <w:pPr>
        <w:pStyle w:val="BodyText"/>
        <w:rPr>
          <w:spacing w:val="-2"/>
        </w:rPr>
      </w:pPr>
      <w:r w:rsidRPr="006676B3">
        <w:rPr>
          <w:spacing w:val="-2"/>
        </w:rPr>
        <w:t>We will work to progress our understanding of the financial risks associated with the impacts of climate change.</w:t>
      </w:r>
    </w:p>
    <w:p w14:paraId="3525E923" w14:textId="77777777" w:rsidR="007F4791" w:rsidRPr="006676B3" w:rsidRDefault="007F4791" w:rsidP="007F4791">
      <w:pPr>
        <w:pStyle w:val="BodyText"/>
        <w:rPr>
          <w:spacing w:val="-2"/>
        </w:rPr>
      </w:pPr>
      <w:r w:rsidRPr="006676B3">
        <w:rPr>
          <w:spacing w:val="-2"/>
        </w:rPr>
        <w:t>We will continue to build the commercial acumen of our people to ensure that we continue to make financially sound decisions that deliver on our strategic objectives and commitment to customers to keep bills low.</w:t>
      </w:r>
    </w:p>
    <w:p w14:paraId="0A6DBC35" w14:textId="77777777" w:rsidR="007F4791" w:rsidRDefault="007F4791" w:rsidP="008B27EB">
      <w:pPr>
        <w:pStyle w:val="BodyText"/>
        <w:keepNext/>
        <w:rPr>
          <w:b/>
        </w:rPr>
      </w:pPr>
      <w:r w:rsidRPr="00A25F2C">
        <w:rPr>
          <w:b/>
        </w:rPr>
        <w:t>Delivering on</w:t>
      </w:r>
    </w:p>
    <w:p w14:paraId="6FB7C0C4" w14:textId="5F9FEF61" w:rsidR="00025489" w:rsidRPr="00025489" w:rsidRDefault="00025489" w:rsidP="00025489">
      <w:pPr>
        <w:pStyle w:val="ListBullet"/>
      </w:pPr>
      <w:r w:rsidRPr="00025489">
        <w:t>Sustainable Development Goal 8: Decent Work and Economic Growth</w:t>
      </w:r>
    </w:p>
    <w:p w14:paraId="776AFFDC" w14:textId="006C4FE7" w:rsidR="00025489" w:rsidRPr="00025489" w:rsidRDefault="00025489" w:rsidP="00025489">
      <w:pPr>
        <w:pStyle w:val="ListBullet"/>
      </w:pPr>
      <w:r w:rsidRPr="00025489">
        <w:t xml:space="preserve">Sustainable Development Goal 9: Industry, </w:t>
      </w:r>
      <w:proofErr w:type="gramStart"/>
      <w:r w:rsidRPr="00025489">
        <w:t>Innovation</w:t>
      </w:r>
      <w:proofErr w:type="gramEnd"/>
      <w:r w:rsidRPr="00025489">
        <w:t xml:space="preserve"> and Infrastructure</w:t>
      </w:r>
    </w:p>
    <w:p w14:paraId="6453F97B" w14:textId="3EE01AA8" w:rsidR="00025489" w:rsidRPr="00A25F2C" w:rsidRDefault="00025489" w:rsidP="00025489">
      <w:pPr>
        <w:pStyle w:val="ListBullet"/>
      </w:pPr>
      <w:r w:rsidRPr="00025489">
        <w:t>Sustainable Development Goal 12: Responsible Consumption and Production</w:t>
      </w:r>
    </w:p>
    <w:p w14:paraId="6F153BB9" w14:textId="22D1F4A3" w:rsidR="007F4791" w:rsidRPr="00A25F2C" w:rsidRDefault="007F4791" w:rsidP="00FC6283">
      <w:pPr>
        <w:pStyle w:val="GreyBox"/>
      </w:pPr>
      <w:r w:rsidRPr="00A25F2C">
        <w:t>Water for Victoria chapters</w:t>
      </w:r>
      <w:r w:rsidR="008B27EB">
        <w:t xml:space="preserve"> 8, 9 and 10</w:t>
      </w:r>
      <w:r w:rsidR="00FC6283">
        <w:t>.</w:t>
      </w:r>
    </w:p>
    <w:p w14:paraId="1CA10D23" w14:textId="175A7596" w:rsidR="007F4791" w:rsidRPr="00A25F2C" w:rsidRDefault="007F4791" w:rsidP="008B27EB">
      <w:pPr>
        <w:pStyle w:val="Heading4"/>
      </w:pPr>
      <w:r w:rsidRPr="00A25F2C">
        <w:t>Bills kept as affordable as possible – in both the long and short terms</w:t>
      </w:r>
    </w:p>
    <w:p w14:paraId="6981C4F7" w14:textId="77777777" w:rsidR="007F4791" w:rsidRPr="00A25F2C" w:rsidRDefault="007F4791" w:rsidP="007F4791">
      <w:pPr>
        <w:pStyle w:val="BodyText"/>
      </w:pPr>
      <w:r w:rsidRPr="00A25F2C">
        <w:t xml:space="preserve">The affordability of our services was the most highly valued outcome by our customers and communities in the </w:t>
      </w:r>
      <w:r w:rsidRPr="00A25F2C">
        <w:rPr>
          <w:i/>
        </w:rPr>
        <w:t>2021 Price Submission</w:t>
      </w:r>
      <w:r w:rsidRPr="00A25F2C">
        <w:t>.</w:t>
      </w:r>
    </w:p>
    <w:p w14:paraId="326E1BFC" w14:textId="77777777" w:rsidR="007F4791" w:rsidRPr="00A25F2C" w:rsidRDefault="007F4791" w:rsidP="007F4791">
      <w:pPr>
        <w:pStyle w:val="BodyText"/>
      </w:pPr>
      <w:r w:rsidRPr="00A25F2C">
        <w:t>Melbourne Water stands by its commitment to keep bills as low as possible by delivering the services our customers and community value. Pressure on household budgets driven by increasing inflation and interest rates are intensifying the challenge, and we understand our critical role in supporting customer affordability.</w:t>
      </w:r>
    </w:p>
    <w:p w14:paraId="0762A150" w14:textId="1E3CBAAA" w:rsidR="007F4791" w:rsidRPr="00A25F2C" w:rsidRDefault="007F4791" w:rsidP="007F4791">
      <w:pPr>
        <w:pStyle w:val="BodyText"/>
      </w:pPr>
      <w:r w:rsidRPr="00A25F2C">
        <w:t>We are committed to managing our expenditure carefully, using robust management processes and increasing our focus on transparency and efficiency. While we have a focus on expenditure efficiencies, a growing population and variable water supplies will result in the requirement for future water supply augmentation increasing expenditure across the industry. This investment must take place together with ensuring financial flexibility to respond to environmental crises such as bushfires and storms should they eventuate.</w:t>
      </w:r>
      <w:r w:rsidR="008B27EB">
        <w:t xml:space="preserve"> </w:t>
      </w:r>
      <w:r w:rsidRPr="00A25F2C">
        <w:t>Ensuring that our assets are resilient will be a top priority while continuing to focus on efficiency and value to ensure bills are kept as low as possible.</w:t>
      </w:r>
    </w:p>
    <w:p w14:paraId="500FDC33" w14:textId="77777777" w:rsidR="00143D6B" w:rsidRDefault="007F4791" w:rsidP="007F4791">
      <w:pPr>
        <w:pStyle w:val="BodyText"/>
      </w:pPr>
      <w:r w:rsidRPr="00A25F2C">
        <w:t xml:space="preserve">Melbourne Water will maintain a long-term view of our price path to ensure that we are identifying early investment that can deliver long-run benefits. We will continue to focus on identifying and embedding operational expenditure efficiencies while remaining cognisant of increases in costs for some of our inputs such as labour, </w:t>
      </w:r>
      <w:proofErr w:type="gramStart"/>
      <w:r w:rsidRPr="00A25F2C">
        <w:t>materials</w:t>
      </w:r>
      <w:proofErr w:type="gramEnd"/>
      <w:r w:rsidRPr="00A25F2C">
        <w:t xml:space="preserve"> and services. This approach will ensure that investment for future water security and resilience is balanced with customer value, not just affordability.</w:t>
      </w:r>
    </w:p>
    <w:p w14:paraId="55CAECAB" w14:textId="77777777" w:rsidR="00143D6B" w:rsidRDefault="007F4791" w:rsidP="007F4791">
      <w:pPr>
        <w:pStyle w:val="Heading1"/>
      </w:pPr>
      <w:bookmarkStart w:id="51" w:name="_Toc147756899"/>
      <w:r w:rsidRPr="00A25F2C">
        <w:lastRenderedPageBreak/>
        <w:t>Our Financials</w:t>
      </w:r>
      <w:bookmarkEnd w:id="51"/>
    </w:p>
    <w:p w14:paraId="3D73647A" w14:textId="420F08A1" w:rsidR="007F4791" w:rsidRPr="00A25F2C" w:rsidRDefault="007F4791" w:rsidP="008B27EB">
      <w:pPr>
        <w:pStyle w:val="Heading2"/>
      </w:pPr>
      <w:bookmarkStart w:id="52" w:name="_Toc147756900"/>
      <w:r w:rsidRPr="00A25F2C">
        <w:t>Overview</w:t>
      </w:r>
      <w:bookmarkEnd w:id="52"/>
    </w:p>
    <w:p w14:paraId="1EAB4DCA" w14:textId="2BD492C4" w:rsidR="007F4791" w:rsidRPr="00A25F2C" w:rsidRDefault="007F4791" w:rsidP="007F4791">
      <w:pPr>
        <w:pStyle w:val="BodyText"/>
      </w:pPr>
      <w:r w:rsidRPr="00A25F2C">
        <w:t>Melbourne Water has embedded customer affordability as a key principle when making financial decisions. At its foundation, this means we want to deliver services of the highest quality</w:t>
      </w:r>
      <w:r w:rsidR="008B27EB">
        <w:t xml:space="preserve"> </w:t>
      </w:r>
      <w:r w:rsidRPr="00A25F2C">
        <w:t>at the lowest cost. We are committed to delivering outcomes in line with the Essential Services Commission 2021 Price Determination and our financial decisions have business efficiency and a commercial focus at their core to ensure customer affordability.</w:t>
      </w:r>
    </w:p>
    <w:p w14:paraId="2CD3EF63" w14:textId="77777777" w:rsidR="007F4791" w:rsidRPr="00A25F2C" w:rsidRDefault="007F4791" w:rsidP="007F4791">
      <w:pPr>
        <w:pStyle w:val="BodyText"/>
      </w:pPr>
      <w:r w:rsidRPr="00A25F2C">
        <w:t>Financial sustainability is embedded into Melbourne Water’s strategic objectives. We define financial sustainability as:</w:t>
      </w:r>
    </w:p>
    <w:p w14:paraId="59937ADC" w14:textId="77777777" w:rsidR="007F4791" w:rsidRPr="00A25F2C" w:rsidRDefault="007F4791" w:rsidP="007F4791">
      <w:pPr>
        <w:pStyle w:val="ListBullet"/>
      </w:pPr>
      <w:r w:rsidRPr="00A25F2C">
        <w:t>continuing to deliver our valued services at the lowest cost to customers</w:t>
      </w:r>
    </w:p>
    <w:p w14:paraId="09DD3838" w14:textId="77777777" w:rsidR="007F4791" w:rsidRPr="00A25F2C" w:rsidRDefault="007F4791" w:rsidP="00F13D2F">
      <w:pPr>
        <w:pStyle w:val="ListBullet"/>
        <w:numPr>
          <w:ilvl w:val="0"/>
          <w:numId w:val="18"/>
        </w:numPr>
      </w:pPr>
      <w:r w:rsidRPr="00A25F2C">
        <w:t>meeting our financial obligations both today and in the future</w:t>
      </w:r>
    </w:p>
    <w:p w14:paraId="06C27E36" w14:textId="77777777" w:rsidR="007F4791" w:rsidRPr="00A25F2C" w:rsidRDefault="007F4791" w:rsidP="007F4791">
      <w:pPr>
        <w:pStyle w:val="ListBullet"/>
      </w:pPr>
      <w:r w:rsidRPr="00A25F2C">
        <w:t>providing a return to our shareholder.</w:t>
      </w:r>
    </w:p>
    <w:p w14:paraId="6E708421" w14:textId="7BE7FC53" w:rsidR="007F4791" w:rsidRPr="00A25F2C" w:rsidRDefault="007F4791" w:rsidP="007F4791">
      <w:pPr>
        <w:pStyle w:val="BodyText"/>
      </w:pPr>
      <w:r w:rsidRPr="00A25F2C">
        <w:t xml:space="preserve">Quality assurances over the </w:t>
      </w:r>
      <w:r w:rsidRPr="00A25F2C">
        <w:rPr>
          <w:i/>
        </w:rPr>
        <w:t xml:space="preserve">Corporate Plan </w:t>
      </w:r>
      <w:r w:rsidRPr="00A25F2C">
        <w:t xml:space="preserve">(the plan) financials include a rigorous internal review process by management, endorsement of the key assumptions by the Audit, Risk and Finance Committee and approval by Board. The financial projections in this plan are consistent with the draft </w:t>
      </w:r>
      <w:r w:rsidRPr="00A25F2C">
        <w:rPr>
          <w:i/>
        </w:rPr>
        <w:t>Department of Energy, Environment and Climate Action Planning and Reporting Guidelines 2023-24</w:t>
      </w:r>
      <w:r w:rsidRPr="00A25F2C">
        <w:t>.</w:t>
      </w:r>
    </w:p>
    <w:p w14:paraId="6D89CDC3" w14:textId="6BBE05E8" w:rsidR="007F4791" w:rsidRPr="00A25F2C" w:rsidRDefault="007F4791" w:rsidP="007F4791">
      <w:pPr>
        <w:pStyle w:val="BodyText"/>
      </w:pPr>
      <w:r w:rsidRPr="00A25F2C">
        <w:t xml:space="preserve">The Port Phillip and Westernport Catchment Management Authority was integrated into Melbourne Water effective 1 January 2022. The plan includes all costs associated with delivering on existing or proposed commitments by the </w:t>
      </w:r>
      <w:r w:rsidR="00E23BDC">
        <w:t>Port Phillip Westernport Catchment Management Authority</w:t>
      </w:r>
      <w:r w:rsidRPr="00A25F2C">
        <w:t>.</w:t>
      </w:r>
    </w:p>
    <w:p w14:paraId="5AA7A1B5" w14:textId="77777777" w:rsidR="007F4791" w:rsidRPr="00A25F2C" w:rsidRDefault="007F4791" w:rsidP="007F4791">
      <w:pPr>
        <w:pStyle w:val="BodyText"/>
      </w:pPr>
      <w:r w:rsidRPr="00A25F2C">
        <w:t>Melbourne Water is expected to return $912 million cash to government and net profit after tax of $543.3 million over the 2023-24 to 2027-28 planning period. This planned performance will enable Melbourne Water to deliver on its Financial Strength goals that ensure efficient outcomes for customers, returns on investment to our shareholder and operating within desired financial metrics.</w:t>
      </w:r>
    </w:p>
    <w:p w14:paraId="168D9368" w14:textId="739B1389" w:rsidR="00143D6B" w:rsidRDefault="007F4791" w:rsidP="007F4791">
      <w:pPr>
        <w:pStyle w:val="BodyText"/>
      </w:pPr>
      <w:r w:rsidRPr="00A25F2C">
        <w:t>Refer to tables and narrative below for an overview of the key financial outcomes.</w:t>
      </w:r>
    </w:p>
    <w:p w14:paraId="1F649AD4" w14:textId="097EC5CB" w:rsidR="007F4791" w:rsidRPr="00A25F2C" w:rsidRDefault="00EA2D5D" w:rsidP="009A601F">
      <w:pPr>
        <w:pStyle w:val="Caption"/>
      </w:pPr>
      <w:r w:rsidRPr="00EA2D5D">
        <w:t>Table 1: Summary of financial outcomes for the period 2022-23 to 2027-28</w:t>
      </w:r>
    </w:p>
    <w:tbl>
      <w:tblPr>
        <w:tblStyle w:val="TableProfessional"/>
        <w:tblW w:w="5000" w:type="pct"/>
        <w:tblLayout w:type="fixed"/>
        <w:tblLook w:val="0620" w:firstRow="1" w:lastRow="0" w:firstColumn="0" w:lastColumn="0" w:noHBand="1" w:noVBand="1"/>
      </w:tblPr>
      <w:tblGrid>
        <w:gridCol w:w="2979"/>
        <w:gridCol w:w="949"/>
        <w:gridCol w:w="949"/>
        <w:gridCol w:w="950"/>
        <w:gridCol w:w="952"/>
        <w:gridCol w:w="950"/>
        <w:gridCol w:w="950"/>
        <w:gridCol w:w="952"/>
      </w:tblGrid>
      <w:tr w:rsidR="00D83413" w:rsidRPr="00A25F2C" w14:paraId="30A7FE33" w14:textId="77777777" w:rsidTr="00D83413">
        <w:trPr>
          <w:cnfStyle w:val="100000000000" w:firstRow="1" w:lastRow="0" w:firstColumn="0" w:lastColumn="0" w:oddVBand="0" w:evenVBand="0" w:oddHBand="0" w:evenHBand="0" w:firstRowFirstColumn="0" w:firstRowLastColumn="0" w:lastRowFirstColumn="0" w:lastRowLastColumn="0"/>
        </w:trPr>
        <w:tc>
          <w:tcPr>
            <w:tcW w:w="1547" w:type="pct"/>
          </w:tcPr>
          <w:p w14:paraId="719471E8" w14:textId="447A6F95" w:rsidR="007F4791" w:rsidRPr="00A25F2C" w:rsidRDefault="007F4791" w:rsidP="007D0BE0">
            <w:pPr>
              <w:pStyle w:val="TableBodyText"/>
              <w:spacing w:before="30" w:after="30"/>
            </w:pPr>
            <w:r w:rsidRPr="00A25F2C">
              <w:t xml:space="preserve">Nominal </w:t>
            </w:r>
            <w:r w:rsidR="00E65500">
              <w:t>$ million</w:t>
            </w:r>
          </w:p>
        </w:tc>
        <w:tc>
          <w:tcPr>
            <w:tcW w:w="493" w:type="pct"/>
          </w:tcPr>
          <w:p w14:paraId="66E2C8A4" w14:textId="77777777" w:rsidR="007F4791" w:rsidRPr="00A25F2C" w:rsidRDefault="007F4791" w:rsidP="007D0BE0">
            <w:pPr>
              <w:pStyle w:val="TableBodyText"/>
              <w:spacing w:before="30" w:after="30"/>
            </w:pPr>
            <w:r w:rsidRPr="00A25F2C">
              <w:t>2022-23</w:t>
            </w:r>
          </w:p>
          <w:p w14:paraId="2538230E" w14:textId="77777777" w:rsidR="007F4791" w:rsidRPr="00A25F2C" w:rsidRDefault="007F4791" w:rsidP="007D0BE0">
            <w:pPr>
              <w:pStyle w:val="TableBodyText"/>
              <w:spacing w:before="30" w:after="30"/>
            </w:pPr>
            <w:r w:rsidRPr="00A25F2C">
              <w:t>FCT</w:t>
            </w:r>
          </w:p>
        </w:tc>
        <w:tc>
          <w:tcPr>
            <w:tcW w:w="493" w:type="pct"/>
          </w:tcPr>
          <w:p w14:paraId="75A5A401" w14:textId="77777777" w:rsidR="007F4791" w:rsidRPr="00A25F2C" w:rsidRDefault="007F4791" w:rsidP="007D0BE0">
            <w:pPr>
              <w:pStyle w:val="TableBodyText"/>
              <w:spacing w:before="30" w:after="30"/>
            </w:pPr>
            <w:r w:rsidRPr="00A25F2C">
              <w:t>2022-23</w:t>
            </w:r>
          </w:p>
          <w:p w14:paraId="6E91A4FC" w14:textId="77777777" w:rsidR="007F4791" w:rsidRPr="00A25F2C" w:rsidRDefault="007F4791" w:rsidP="007D0BE0">
            <w:pPr>
              <w:pStyle w:val="TableBodyText"/>
              <w:spacing w:before="30" w:after="30"/>
            </w:pPr>
            <w:r w:rsidRPr="00A25F2C">
              <w:t>PLAN</w:t>
            </w:r>
          </w:p>
        </w:tc>
        <w:tc>
          <w:tcPr>
            <w:tcW w:w="493" w:type="pct"/>
          </w:tcPr>
          <w:p w14:paraId="647343AB" w14:textId="77777777" w:rsidR="007F4791" w:rsidRPr="00A25F2C" w:rsidRDefault="007F4791" w:rsidP="007D0BE0">
            <w:pPr>
              <w:pStyle w:val="TableBodyText"/>
              <w:spacing w:before="30" w:after="30"/>
            </w:pPr>
            <w:r w:rsidRPr="00A25F2C">
              <w:t>2023-24</w:t>
            </w:r>
          </w:p>
        </w:tc>
        <w:tc>
          <w:tcPr>
            <w:tcW w:w="494" w:type="pct"/>
          </w:tcPr>
          <w:p w14:paraId="34F7D528" w14:textId="77777777" w:rsidR="007F4791" w:rsidRPr="00A25F2C" w:rsidRDefault="007F4791" w:rsidP="007D0BE0">
            <w:pPr>
              <w:pStyle w:val="TableBodyText"/>
              <w:spacing w:before="30" w:after="30"/>
            </w:pPr>
            <w:r w:rsidRPr="00A25F2C">
              <w:t>2024-25</w:t>
            </w:r>
          </w:p>
        </w:tc>
        <w:tc>
          <w:tcPr>
            <w:tcW w:w="493" w:type="pct"/>
          </w:tcPr>
          <w:p w14:paraId="22B937CD" w14:textId="77777777" w:rsidR="007F4791" w:rsidRPr="00A25F2C" w:rsidRDefault="007F4791" w:rsidP="007D0BE0">
            <w:pPr>
              <w:pStyle w:val="TableBodyText"/>
              <w:spacing w:before="30" w:after="30"/>
            </w:pPr>
            <w:r w:rsidRPr="00A25F2C">
              <w:t>2025-26</w:t>
            </w:r>
          </w:p>
        </w:tc>
        <w:tc>
          <w:tcPr>
            <w:tcW w:w="493" w:type="pct"/>
          </w:tcPr>
          <w:p w14:paraId="369E65E6" w14:textId="77777777" w:rsidR="007F4791" w:rsidRPr="00A25F2C" w:rsidRDefault="007F4791" w:rsidP="007D0BE0">
            <w:pPr>
              <w:pStyle w:val="TableBodyText"/>
              <w:spacing w:before="30" w:after="30"/>
            </w:pPr>
            <w:r w:rsidRPr="00A25F2C">
              <w:t>2026-27</w:t>
            </w:r>
          </w:p>
        </w:tc>
        <w:tc>
          <w:tcPr>
            <w:tcW w:w="494" w:type="pct"/>
          </w:tcPr>
          <w:p w14:paraId="75B80BC2" w14:textId="77777777" w:rsidR="007F4791" w:rsidRPr="00A25F2C" w:rsidRDefault="007F4791" w:rsidP="007D0BE0">
            <w:pPr>
              <w:pStyle w:val="TableBodyText"/>
              <w:spacing w:before="30" w:after="30"/>
            </w:pPr>
            <w:r w:rsidRPr="00A25F2C">
              <w:t>2027-28</w:t>
            </w:r>
          </w:p>
        </w:tc>
      </w:tr>
      <w:tr w:rsidR="005F49BD" w:rsidRPr="00A25F2C" w14:paraId="1D595405" w14:textId="77777777" w:rsidTr="00D83413">
        <w:tc>
          <w:tcPr>
            <w:tcW w:w="1547" w:type="pct"/>
          </w:tcPr>
          <w:p w14:paraId="37CFB395" w14:textId="04918337" w:rsidR="00025489" w:rsidRPr="00A25F2C" w:rsidRDefault="00155A67" w:rsidP="007D0BE0">
            <w:pPr>
              <w:pStyle w:val="TableBodyText"/>
              <w:spacing w:before="30" w:after="30"/>
              <w:rPr>
                <w:b/>
              </w:rPr>
            </w:pPr>
            <w:r w:rsidRPr="00A25F2C">
              <w:rPr>
                <w:b/>
              </w:rPr>
              <w:t>Profit And Loss</w:t>
            </w:r>
          </w:p>
        </w:tc>
        <w:tc>
          <w:tcPr>
            <w:tcW w:w="493" w:type="pct"/>
          </w:tcPr>
          <w:p w14:paraId="362938CA" w14:textId="188666BF" w:rsidR="00025489" w:rsidRPr="00A25F2C" w:rsidRDefault="00995D31" w:rsidP="007D0BE0">
            <w:pPr>
              <w:spacing w:before="30" w:after="30"/>
              <w:jc w:val="right"/>
            </w:pPr>
            <w:r>
              <w:t>N/A</w:t>
            </w:r>
          </w:p>
        </w:tc>
        <w:tc>
          <w:tcPr>
            <w:tcW w:w="493" w:type="pct"/>
          </w:tcPr>
          <w:p w14:paraId="0844005B" w14:textId="32616DBE" w:rsidR="00025489" w:rsidRPr="00A25F2C" w:rsidRDefault="00995D31" w:rsidP="007D0BE0">
            <w:pPr>
              <w:pStyle w:val="TableBodyText"/>
              <w:spacing w:before="30" w:after="30"/>
              <w:jc w:val="right"/>
            </w:pPr>
            <w:r>
              <w:t>N/A</w:t>
            </w:r>
          </w:p>
        </w:tc>
        <w:tc>
          <w:tcPr>
            <w:tcW w:w="493" w:type="pct"/>
          </w:tcPr>
          <w:p w14:paraId="33CE4839" w14:textId="6934DBE3" w:rsidR="00025489" w:rsidRPr="00A25F2C" w:rsidRDefault="00995D31" w:rsidP="007D0BE0">
            <w:pPr>
              <w:pStyle w:val="TableBodyText"/>
              <w:spacing w:before="30" w:after="30"/>
              <w:jc w:val="right"/>
            </w:pPr>
            <w:r>
              <w:t>N/A</w:t>
            </w:r>
          </w:p>
        </w:tc>
        <w:tc>
          <w:tcPr>
            <w:tcW w:w="494" w:type="pct"/>
          </w:tcPr>
          <w:p w14:paraId="0BB59025" w14:textId="79752AA3" w:rsidR="00025489" w:rsidRPr="00A25F2C" w:rsidRDefault="00995D31" w:rsidP="007D0BE0">
            <w:pPr>
              <w:pStyle w:val="TableBodyText"/>
              <w:spacing w:before="30" w:after="30"/>
              <w:jc w:val="right"/>
            </w:pPr>
            <w:r>
              <w:t>N/A</w:t>
            </w:r>
          </w:p>
        </w:tc>
        <w:tc>
          <w:tcPr>
            <w:tcW w:w="493" w:type="pct"/>
          </w:tcPr>
          <w:p w14:paraId="4F67A253" w14:textId="37CF7A09" w:rsidR="00025489" w:rsidRPr="00A25F2C" w:rsidRDefault="00995D31" w:rsidP="007D0BE0">
            <w:pPr>
              <w:pStyle w:val="TableBodyText"/>
              <w:spacing w:before="30" w:after="30"/>
              <w:jc w:val="right"/>
            </w:pPr>
            <w:r>
              <w:t>N/A</w:t>
            </w:r>
          </w:p>
        </w:tc>
        <w:tc>
          <w:tcPr>
            <w:tcW w:w="493" w:type="pct"/>
          </w:tcPr>
          <w:p w14:paraId="55CB1D8C" w14:textId="0CCA971E" w:rsidR="00025489" w:rsidRPr="00A25F2C" w:rsidRDefault="00995D31" w:rsidP="007D0BE0">
            <w:pPr>
              <w:pStyle w:val="TableBodyText"/>
              <w:spacing w:before="30" w:after="30"/>
              <w:jc w:val="right"/>
            </w:pPr>
            <w:r>
              <w:t>N/A</w:t>
            </w:r>
          </w:p>
        </w:tc>
        <w:tc>
          <w:tcPr>
            <w:tcW w:w="494" w:type="pct"/>
          </w:tcPr>
          <w:p w14:paraId="6674792B" w14:textId="45EFAF6A" w:rsidR="00025489" w:rsidRPr="00A25F2C" w:rsidRDefault="00995D31" w:rsidP="007D0BE0">
            <w:pPr>
              <w:pStyle w:val="TableBodyText"/>
              <w:spacing w:before="30" w:after="30"/>
              <w:jc w:val="right"/>
            </w:pPr>
            <w:r>
              <w:t>N/A</w:t>
            </w:r>
          </w:p>
        </w:tc>
      </w:tr>
      <w:tr w:rsidR="005F49BD" w:rsidRPr="00A25F2C" w14:paraId="73A2565F" w14:textId="77777777" w:rsidTr="00D83413">
        <w:tc>
          <w:tcPr>
            <w:tcW w:w="1547" w:type="pct"/>
          </w:tcPr>
          <w:p w14:paraId="06F8FECA" w14:textId="77777777" w:rsidR="007F4791" w:rsidRPr="00A25F2C" w:rsidRDefault="007F4791" w:rsidP="007D0BE0">
            <w:pPr>
              <w:pStyle w:val="TableBodyText"/>
              <w:spacing w:before="30" w:after="30"/>
            </w:pPr>
            <w:r w:rsidRPr="00A25F2C">
              <w:t>Total Operating Revenue</w:t>
            </w:r>
          </w:p>
        </w:tc>
        <w:tc>
          <w:tcPr>
            <w:tcW w:w="493" w:type="pct"/>
          </w:tcPr>
          <w:p w14:paraId="19533CFD" w14:textId="77777777" w:rsidR="007F4791" w:rsidRPr="00A25F2C" w:rsidRDefault="007F4791" w:rsidP="007D0BE0">
            <w:pPr>
              <w:pStyle w:val="TableBodyText"/>
              <w:spacing w:before="30" w:after="30"/>
              <w:jc w:val="right"/>
            </w:pPr>
            <w:r w:rsidRPr="00A25F2C">
              <w:t>1,861.1</w:t>
            </w:r>
          </w:p>
        </w:tc>
        <w:tc>
          <w:tcPr>
            <w:tcW w:w="493" w:type="pct"/>
          </w:tcPr>
          <w:p w14:paraId="295772D4" w14:textId="77777777" w:rsidR="007F4791" w:rsidRPr="00A25F2C" w:rsidRDefault="007F4791" w:rsidP="007D0BE0">
            <w:pPr>
              <w:pStyle w:val="TableBodyText"/>
              <w:spacing w:before="30" w:after="30"/>
              <w:jc w:val="right"/>
            </w:pPr>
            <w:r w:rsidRPr="00A25F2C">
              <w:t>1,839.0</w:t>
            </w:r>
          </w:p>
        </w:tc>
        <w:tc>
          <w:tcPr>
            <w:tcW w:w="493" w:type="pct"/>
          </w:tcPr>
          <w:p w14:paraId="1ADCFC58" w14:textId="77777777" w:rsidR="007F4791" w:rsidRPr="00A25F2C" w:rsidRDefault="007F4791" w:rsidP="007D0BE0">
            <w:pPr>
              <w:pStyle w:val="TableBodyText"/>
              <w:spacing w:before="30" w:after="30"/>
              <w:jc w:val="right"/>
            </w:pPr>
            <w:r w:rsidRPr="00A25F2C">
              <w:t>2,007.3</w:t>
            </w:r>
          </w:p>
        </w:tc>
        <w:tc>
          <w:tcPr>
            <w:tcW w:w="494" w:type="pct"/>
          </w:tcPr>
          <w:p w14:paraId="2AC980D4" w14:textId="77777777" w:rsidR="007F4791" w:rsidRPr="00A25F2C" w:rsidRDefault="007F4791" w:rsidP="007D0BE0">
            <w:pPr>
              <w:pStyle w:val="TableBodyText"/>
              <w:spacing w:before="30" w:after="30"/>
              <w:jc w:val="right"/>
            </w:pPr>
            <w:r w:rsidRPr="00A25F2C">
              <w:t>2,134.1</w:t>
            </w:r>
          </w:p>
        </w:tc>
        <w:tc>
          <w:tcPr>
            <w:tcW w:w="493" w:type="pct"/>
          </w:tcPr>
          <w:p w14:paraId="0F601C16" w14:textId="77777777" w:rsidR="007F4791" w:rsidRPr="00A25F2C" w:rsidRDefault="007F4791" w:rsidP="007D0BE0">
            <w:pPr>
              <w:pStyle w:val="TableBodyText"/>
              <w:spacing w:before="30" w:after="30"/>
              <w:jc w:val="right"/>
            </w:pPr>
            <w:r w:rsidRPr="00A25F2C">
              <w:t>2,222.9</w:t>
            </w:r>
          </w:p>
        </w:tc>
        <w:tc>
          <w:tcPr>
            <w:tcW w:w="493" w:type="pct"/>
          </w:tcPr>
          <w:p w14:paraId="75222E03" w14:textId="77777777" w:rsidR="007F4791" w:rsidRPr="00A25F2C" w:rsidRDefault="007F4791" w:rsidP="007D0BE0">
            <w:pPr>
              <w:pStyle w:val="TableBodyText"/>
              <w:spacing w:before="30" w:after="30"/>
              <w:jc w:val="right"/>
            </w:pPr>
            <w:r w:rsidRPr="00A25F2C">
              <w:t>2,287.4</w:t>
            </w:r>
          </w:p>
        </w:tc>
        <w:tc>
          <w:tcPr>
            <w:tcW w:w="494" w:type="pct"/>
          </w:tcPr>
          <w:p w14:paraId="3B4C27DE" w14:textId="77777777" w:rsidR="007F4791" w:rsidRPr="00A25F2C" w:rsidRDefault="007F4791" w:rsidP="007D0BE0">
            <w:pPr>
              <w:pStyle w:val="TableBodyText"/>
              <w:spacing w:before="30" w:after="30"/>
              <w:jc w:val="right"/>
            </w:pPr>
            <w:r w:rsidRPr="00A25F2C">
              <w:t>2,346.1</w:t>
            </w:r>
          </w:p>
        </w:tc>
      </w:tr>
      <w:tr w:rsidR="005F49BD" w:rsidRPr="00A25F2C" w14:paraId="37309438" w14:textId="77777777" w:rsidTr="00D83413">
        <w:tc>
          <w:tcPr>
            <w:tcW w:w="1547" w:type="pct"/>
          </w:tcPr>
          <w:p w14:paraId="35D87BD7" w14:textId="77777777" w:rsidR="007F4791" w:rsidRPr="00A25F2C" w:rsidRDefault="007F4791" w:rsidP="007D0BE0">
            <w:pPr>
              <w:pStyle w:val="TableBodyText"/>
              <w:spacing w:before="30" w:after="30"/>
            </w:pPr>
            <w:r w:rsidRPr="00A25F2C">
              <w:t>Total Direct Operating Expenses</w:t>
            </w:r>
          </w:p>
        </w:tc>
        <w:tc>
          <w:tcPr>
            <w:tcW w:w="493" w:type="pct"/>
          </w:tcPr>
          <w:p w14:paraId="4D13AE5D" w14:textId="77777777" w:rsidR="007F4791" w:rsidRPr="00A25F2C" w:rsidRDefault="007F4791" w:rsidP="007D0BE0">
            <w:pPr>
              <w:pStyle w:val="TableBodyText"/>
              <w:spacing w:before="30" w:after="30"/>
              <w:jc w:val="right"/>
            </w:pPr>
            <w:r w:rsidRPr="00A25F2C">
              <w:t>622.0</w:t>
            </w:r>
          </w:p>
        </w:tc>
        <w:tc>
          <w:tcPr>
            <w:tcW w:w="493" w:type="pct"/>
          </w:tcPr>
          <w:p w14:paraId="0714F5AA" w14:textId="77777777" w:rsidR="007F4791" w:rsidRPr="00A25F2C" w:rsidRDefault="007F4791" w:rsidP="007D0BE0">
            <w:pPr>
              <w:pStyle w:val="TableBodyText"/>
              <w:spacing w:before="30" w:after="30"/>
              <w:jc w:val="right"/>
            </w:pPr>
            <w:r w:rsidRPr="00A25F2C">
              <w:t>617.6</w:t>
            </w:r>
          </w:p>
        </w:tc>
        <w:tc>
          <w:tcPr>
            <w:tcW w:w="493" w:type="pct"/>
          </w:tcPr>
          <w:p w14:paraId="4A211FFF" w14:textId="77777777" w:rsidR="007F4791" w:rsidRPr="00A25F2C" w:rsidRDefault="007F4791" w:rsidP="007D0BE0">
            <w:pPr>
              <w:pStyle w:val="TableBodyText"/>
              <w:spacing w:before="30" w:after="30"/>
              <w:jc w:val="right"/>
            </w:pPr>
            <w:r w:rsidRPr="00A25F2C">
              <w:t>687.8</w:t>
            </w:r>
          </w:p>
        </w:tc>
        <w:tc>
          <w:tcPr>
            <w:tcW w:w="494" w:type="pct"/>
          </w:tcPr>
          <w:p w14:paraId="73D55E0A" w14:textId="77777777" w:rsidR="007F4791" w:rsidRPr="00A25F2C" w:rsidRDefault="007F4791" w:rsidP="007D0BE0">
            <w:pPr>
              <w:pStyle w:val="TableBodyText"/>
              <w:spacing w:before="30" w:after="30"/>
              <w:jc w:val="right"/>
            </w:pPr>
            <w:r w:rsidRPr="00A25F2C">
              <w:t>797.8</w:t>
            </w:r>
          </w:p>
        </w:tc>
        <w:tc>
          <w:tcPr>
            <w:tcW w:w="493" w:type="pct"/>
          </w:tcPr>
          <w:p w14:paraId="5B858EC1" w14:textId="77777777" w:rsidR="007F4791" w:rsidRPr="00A25F2C" w:rsidRDefault="007F4791" w:rsidP="007D0BE0">
            <w:pPr>
              <w:pStyle w:val="TableBodyText"/>
              <w:spacing w:before="30" w:after="30"/>
              <w:jc w:val="right"/>
            </w:pPr>
            <w:r w:rsidRPr="00A25F2C">
              <w:t>767.8</w:t>
            </w:r>
          </w:p>
        </w:tc>
        <w:tc>
          <w:tcPr>
            <w:tcW w:w="493" w:type="pct"/>
          </w:tcPr>
          <w:p w14:paraId="2DC27C53" w14:textId="77777777" w:rsidR="007F4791" w:rsidRPr="00A25F2C" w:rsidRDefault="007F4791" w:rsidP="007D0BE0">
            <w:pPr>
              <w:pStyle w:val="TableBodyText"/>
              <w:spacing w:before="30" w:after="30"/>
              <w:jc w:val="right"/>
            </w:pPr>
            <w:r w:rsidRPr="00A25F2C">
              <w:t>779.8</w:t>
            </w:r>
          </w:p>
        </w:tc>
        <w:tc>
          <w:tcPr>
            <w:tcW w:w="494" w:type="pct"/>
          </w:tcPr>
          <w:p w14:paraId="19283972" w14:textId="77777777" w:rsidR="007F4791" w:rsidRPr="00A25F2C" w:rsidRDefault="007F4791" w:rsidP="007D0BE0">
            <w:pPr>
              <w:pStyle w:val="TableBodyText"/>
              <w:spacing w:before="30" w:after="30"/>
              <w:jc w:val="right"/>
            </w:pPr>
            <w:r w:rsidRPr="00A25F2C">
              <w:t>806.5</w:t>
            </w:r>
          </w:p>
        </w:tc>
      </w:tr>
      <w:tr w:rsidR="005F49BD" w:rsidRPr="00A25F2C" w14:paraId="413332AD" w14:textId="77777777" w:rsidTr="00D83413">
        <w:tc>
          <w:tcPr>
            <w:tcW w:w="1547" w:type="pct"/>
          </w:tcPr>
          <w:p w14:paraId="5DB2FEF6" w14:textId="77777777" w:rsidR="007F4791" w:rsidRPr="00A25F2C" w:rsidRDefault="007F4791" w:rsidP="007D0BE0">
            <w:pPr>
              <w:pStyle w:val="TableBodyText"/>
              <w:spacing w:before="30" w:after="30"/>
            </w:pPr>
            <w:r w:rsidRPr="00A25F2C">
              <w:t>Total Indirect Operating Expenses</w:t>
            </w:r>
          </w:p>
        </w:tc>
        <w:tc>
          <w:tcPr>
            <w:tcW w:w="493" w:type="pct"/>
          </w:tcPr>
          <w:p w14:paraId="36EBFC4F" w14:textId="77777777" w:rsidR="007F4791" w:rsidRPr="00A25F2C" w:rsidRDefault="007F4791" w:rsidP="007D0BE0">
            <w:pPr>
              <w:pStyle w:val="TableBodyText"/>
              <w:spacing w:before="30" w:after="30"/>
              <w:jc w:val="right"/>
            </w:pPr>
            <w:r w:rsidRPr="00A25F2C">
              <w:t>504.9</w:t>
            </w:r>
          </w:p>
        </w:tc>
        <w:tc>
          <w:tcPr>
            <w:tcW w:w="493" w:type="pct"/>
          </w:tcPr>
          <w:p w14:paraId="163B2D7B" w14:textId="77777777" w:rsidR="007F4791" w:rsidRPr="00A25F2C" w:rsidRDefault="007F4791" w:rsidP="007D0BE0">
            <w:pPr>
              <w:pStyle w:val="TableBodyText"/>
              <w:spacing w:before="30" w:after="30"/>
              <w:jc w:val="right"/>
            </w:pPr>
            <w:r w:rsidRPr="00A25F2C">
              <w:t>511.8</w:t>
            </w:r>
          </w:p>
        </w:tc>
        <w:tc>
          <w:tcPr>
            <w:tcW w:w="493" w:type="pct"/>
          </w:tcPr>
          <w:p w14:paraId="774C85CC" w14:textId="77777777" w:rsidR="007F4791" w:rsidRPr="00A25F2C" w:rsidRDefault="007F4791" w:rsidP="007D0BE0">
            <w:pPr>
              <w:pStyle w:val="TableBodyText"/>
              <w:spacing w:before="30" w:after="30"/>
              <w:jc w:val="right"/>
            </w:pPr>
            <w:r w:rsidRPr="00A25F2C">
              <w:t>522.4</w:t>
            </w:r>
          </w:p>
        </w:tc>
        <w:tc>
          <w:tcPr>
            <w:tcW w:w="494" w:type="pct"/>
          </w:tcPr>
          <w:p w14:paraId="4DB5D334" w14:textId="77777777" w:rsidR="007F4791" w:rsidRPr="00A25F2C" w:rsidRDefault="007F4791" w:rsidP="007D0BE0">
            <w:pPr>
              <w:pStyle w:val="TableBodyText"/>
              <w:spacing w:before="30" w:after="30"/>
              <w:jc w:val="right"/>
            </w:pPr>
            <w:r w:rsidRPr="00A25F2C">
              <w:t>561.9</w:t>
            </w:r>
          </w:p>
        </w:tc>
        <w:tc>
          <w:tcPr>
            <w:tcW w:w="493" w:type="pct"/>
          </w:tcPr>
          <w:p w14:paraId="5374418A" w14:textId="77777777" w:rsidR="007F4791" w:rsidRPr="00A25F2C" w:rsidRDefault="007F4791" w:rsidP="007D0BE0">
            <w:pPr>
              <w:pStyle w:val="TableBodyText"/>
              <w:spacing w:before="30" w:after="30"/>
              <w:jc w:val="right"/>
            </w:pPr>
            <w:r w:rsidRPr="00A25F2C">
              <w:t>583.8</w:t>
            </w:r>
          </w:p>
        </w:tc>
        <w:tc>
          <w:tcPr>
            <w:tcW w:w="493" w:type="pct"/>
          </w:tcPr>
          <w:p w14:paraId="2E032832" w14:textId="77777777" w:rsidR="007F4791" w:rsidRPr="00A25F2C" w:rsidRDefault="007F4791" w:rsidP="007D0BE0">
            <w:pPr>
              <w:pStyle w:val="TableBodyText"/>
              <w:spacing w:before="30" w:after="30"/>
              <w:jc w:val="right"/>
            </w:pPr>
            <w:r w:rsidRPr="00A25F2C">
              <w:t>604.3</w:t>
            </w:r>
          </w:p>
        </w:tc>
        <w:tc>
          <w:tcPr>
            <w:tcW w:w="494" w:type="pct"/>
          </w:tcPr>
          <w:p w14:paraId="4A29D091" w14:textId="77777777" w:rsidR="007F4791" w:rsidRPr="00A25F2C" w:rsidRDefault="007F4791" w:rsidP="007D0BE0">
            <w:pPr>
              <w:pStyle w:val="TableBodyText"/>
              <w:spacing w:before="30" w:after="30"/>
              <w:jc w:val="right"/>
            </w:pPr>
            <w:r w:rsidRPr="00A25F2C">
              <w:t>639.2</w:t>
            </w:r>
          </w:p>
        </w:tc>
      </w:tr>
      <w:tr w:rsidR="005F49BD" w:rsidRPr="00A25F2C" w14:paraId="33B77EFC" w14:textId="77777777" w:rsidTr="00D83413">
        <w:tc>
          <w:tcPr>
            <w:tcW w:w="1547" w:type="pct"/>
          </w:tcPr>
          <w:p w14:paraId="642BF52E" w14:textId="77777777" w:rsidR="007F4791" w:rsidRPr="00A25F2C" w:rsidRDefault="007F4791" w:rsidP="007D0BE0">
            <w:pPr>
              <w:pStyle w:val="TableBodyText"/>
              <w:spacing w:before="30" w:after="30"/>
            </w:pPr>
            <w:r w:rsidRPr="00A25F2C">
              <w:rPr>
                <w:b/>
              </w:rPr>
              <w:t>Earnings Before Interest and Tax (EBIT)</w:t>
            </w:r>
          </w:p>
        </w:tc>
        <w:tc>
          <w:tcPr>
            <w:tcW w:w="493" w:type="pct"/>
          </w:tcPr>
          <w:p w14:paraId="0569D9DB" w14:textId="77777777" w:rsidR="007F4791" w:rsidRPr="00A25F2C" w:rsidRDefault="007F4791" w:rsidP="007D0BE0">
            <w:pPr>
              <w:pStyle w:val="TableBodyText"/>
              <w:spacing w:before="30" w:after="30"/>
              <w:jc w:val="right"/>
            </w:pPr>
            <w:r w:rsidRPr="00A25F2C">
              <w:rPr>
                <w:b/>
              </w:rPr>
              <w:t>734.2</w:t>
            </w:r>
          </w:p>
        </w:tc>
        <w:tc>
          <w:tcPr>
            <w:tcW w:w="493" w:type="pct"/>
          </w:tcPr>
          <w:p w14:paraId="48D74880" w14:textId="77777777" w:rsidR="007F4791" w:rsidRPr="00A25F2C" w:rsidRDefault="007F4791" w:rsidP="007D0BE0">
            <w:pPr>
              <w:pStyle w:val="TableBodyText"/>
              <w:spacing w:before="30" w:after="30"/>
              <w:jc w:val="right"/>
            </w:pPr>
            <w:r w:rsidRPr="00A25F2C">
              <w:rPr>
                <w:b/>
              </w:rPr>
              <w:t>709.6</w:t>
            </w:r>
          </w:p>
        </w:tc>
        <w:tc>
          <w:tcPr>
            <w:tcW w:w="493" w:type="pct"/>
          </w:tcPr>
          <w:p w14:paraId="06053B35" w14:textId="77777777" w:rsidR="007F4791" w:rsidRPr="00A25F2C" w:rsidRDefault="007F4791" w:rsidP="007D0BE0">
            <w:pPr>
              <w:pStyle w:val="TableBodyText"/>
              <w:spacing w:before="30" w:after="30"/>
              <w:jc w:val="right"/>
            </w:pPr>
            <w:r w:rsidRPr="00A25F2C">
              <w:rPr>
                <w:b/>
              </w:rPr>
              <w:t>797.1</w:t>
            </w:r>
          </w:p>
        </w:tc>
        <w:tc>
          <w:tcPr>
            <w:tcW w:w="494" w:type="pct"/>
          </w:tcPr>
          <w:p w14:paraId="11BD1887" w14:textId="77777777" w:rsidR="007F4791" w:rsidRPr="00A25F2C" w:rsidRDefault="007F4791" w:rsidP="007D0BE0">
            <w:pPr>
              <w:pStyle w:val="TableBodyText"/>
              <w:spacing w:before="30" w:after="30"/>
              <w:jc w:val="right"/>
            </w:pPr>
            <w:r w:rsidRPr="00A25F2C">
              <w:rPr>
                <w:b/>
              </w:rPr>
              <w:t>774.4</w:t>
            </w:r>
          </w:p>
        </w:tc>
        <w:tc>
          <w:tcPr>
            <w:tcW w:w="493" w:type="pct"/>
          </w:tcPr>
          <w:p w14:paraId="1E62B655" w14:textId="77777777" w:rsidR="007F4791" w:rsidRPr="00A25F2C" w:rsidRDefault="007F4791" w:rsidP="007D0BE0">
            <w:pPr>
              <w:pStyle w:val="TableBodyText"/>
              <w:spacing w:before="30" w:after="30"/>
              <w:jc w:val="right"/>
            </w:pPr>
            <w:r w:rsidRPr="00A25F2C">
              <w:rPr>
                <w:b/>
              </w:rPr>
              <w:t>871.3</w:t>
            </w:r>
          </w:p>
        </w:tc>
        <w:tc>
          <w:tcPr>
            <w:tcW w:w="493" w:type="pct"/>
          </w:tcPr>
          <w:p w14:paraId="4BF992B3" w14:textId="77777777" w:rsidR="007F4791" w:rsidRPr="00A25F2C" w:rsidRDefault="007F4791" w:rsidP="007D0BE0">
            <w:pPr>
              <w:pStyle w:val="TableBodyText"/>
              <w:spacing w:before="30" w:after="30"/>
              <w:jc w:val="right"/>
            </w:pPr>
            <w:r w:rsidRPr="00A25F2C">
              <w:rPr>
                <w:b/>
              </w:rPr>
              <w:t>903.3</w:t>
            </w:r>
          </w:p>
        </w:tc>
        <w:tc>
          <w:tcPr>
            <w:tcW w:w="494" w:type="pct"/>
          </w:tcPr>
          <w:p w14:paraId="407DC33B" w14:textId="77777777" w:rsidR="007F4791" w:rsidRPr="00A25F2C" w:rsidRDefault="007F4791" w:rsidP="007D0BE0">
            <w:pPr>
              <w:pStyle w:val="TableBodyText"/>
              <w:spacing w:before="30" w:after="30"/>
              <w:jc w:val="right"/>
              <w:rPr>
                <w:b/>
              </w:rPr>
            </w:pPr>
            <w:r w:rsidRPr="00A25F2C">
              <w:rPr>
                <w:b/>
              </w:rPr>
              <w:t>900.4</w:t>
            </w:r>
          </w:p>
        </w:tc>
      </w:tr>
      <w:tr w:rsidR="005F49BD" w:rsidRPr="00A25F2C" w14:paraId="2EB063E8" w14:textId="77777777" w:rsidTr="00D83413">
        <w:tc>
          <w:tcPr>
            <w:tcW w:w="1547" w:type="pct"/>
          </w:tcPr>
          <w:p w14:paraId="218F4724" w14:textId="77777777" w:rsidR="007F4791" w:rsidRPr="00A25F2C" w:rsidRDefault="007F4791" w:rsidP="007D0BE0">
            <w:pPr>
              <w:pStyle w:val="TableBodyText"/>
              <w:spacing w:before="30" w:after="30"/>
            </w:pPr>
            <w:r w:rsidRPr="00A25F2C">
              <w:t>Finance Charges (excl. VDP and Right of Use Leases)</w:t>
            </w:r>
          </w:p>
        </w:tc>
        <w:tc>
          <w:tcPr>
            <w:tcW w:w="493" w:type="pct"/>
          </w:tcPr>
          <w:p w14:paraId="10A8EF65" w14:textId="77777777" w:rsidR="007F4791" w:rsidRPr="00A25F2C" w:rsidRDefault="007F4791" w:rsidP="007D0BE0">
            <w:pPr>
              <w:pStyle w:val="TableBodyText"/>
              <w:spacing w:before="30" w:after="30"/>
              <w:jc w:val="right"/>
            </w:pPr>
            <w:r w:rsidRPr="00A25F2C">
              <w:t>153.6</w:t>
            </w:r>
          </w:p>
        </w:tc>
        <w:tc>
          <w:tcPr>
            <w:tcW w:w="493" w:type="pct"/>
          </w:tcPr>
          <w:p w14:paraId="3BF4BBD3" w14:textId="77777777" w:rsidR="007F4791" w:rsidRPr="00A25F2C" w:rsidRDefault="007F4791" w:rsidP="007D0BE0">
            <w:pPr>
              <w:pStyle w:val="TableBodyText"/>
              <w:spacing w:before="30" w:after="30"/>
              <w:jc w:val="right"/>
            </w:pPr>
            <w:r w:rsidRPr="00A25F2C">
              <w:t>149.0</w:t>
            </w:r>
          </w:p>
        </w:tc>
        <w:tc>
          <w:tcPr>
            <w:tcW w:w="493" w:type="pct"/>
          </w:tcPr>
          <w:p w14:paraId="36D66817" w14:textId="77777777" w:rsidR="007F4791" w:rsidRPr="00A25F2C" w:rsidRDefault="007F4791" w:rsidP="007D0BE0">
            <w:pPr>
              <w:pStyle w:val="TableBodyText"/>
              <w:spacing w:before="30" w:after="30"/>
              <w:jc w:val="right"/>
            </w:pPr>
            <w:r w:rsidRPr="00A25F2C">
              <w:t>190.4</w:t>
            </w:r>
          </w:p>
        </w:tc>
        <w:tc>
          <w:tcPr>
            <w:tcW w:w="494" w:type="pct"/>
          </w:tcPr>
          <w:p w14:paraId="5A641D69" w14:textId="77777777" w:rsidR="007F4791" w:rsidRPr="00A25F2C" w:rsidRDefault="007F4791" w:rsidP="007D0BE0">
            <w:pPr>
              <w:pStyle w:val="TableBodyText"/>
              <w:spacing w:before="30" w:after="30"/>
              <w:jc w:val="right"/>
            </w:pPr>
            <w:r w:rsidRPr="00A25F2C">
              <w:t>234.1</w:t>
            </w:r>
          </w:p>
        </w:tc>
        <w:tc>
          <w:tcPr>
            <w:tcW w:w="493" w:type="pct"/>
          </w:tcPr>
          <w:p w14:paraId="4DC923EE" w14:textId="77777777" w:rsidR="007F4791" w:rsidRPr="00A25F2C" w:rsidRDefault="007F4791" w:rsidP="007D0BE0">
            <w:pPr>
              <w:pStyle w:val="TableBodyText"/>
              <w:spacing w:before="30" w:after="30"/>
              <w:jc w:val="right"/>
            </w:pPr>
            <w:r w:rsidRPr="00A25F2C">
              <w:t>268.5</w:t>
            </w:r>
          </w:p>
        </w:tc>
        <w:tc>
          <w:tcPr>
            <w:tcW w:w="493" w:type="pct"/>
          </w:tcPr>
          <w:p w14:paraId="387432AF" w14:textId="77777777" w:rsidR="007F4791" w:rsidRPr="00A25F2C" w:rsidRDefault="007F4791" w:rsidP="007D0BE0">
            <w:pPr>
              <w:pStyle w:val="TableBodyText"/>
              <w:spacing w:before="30" w:after="30"/>
              <w:jc w:val="right"/>
            </w:pPr>
            <w:r w:rsidRPr="00A25F2C">
              <w:t>316.6</w:t>
            </w:r>
          </w:p>
        </w:tc>
        <w:tc>
          <w:tcPr>
            <w:tcW w:w="494" w:type="pct"/>
          </w:tcPr>
          <w:p w14:paraId="5CC93984" w14:textId="77777777" w:rsidR="007F4791" w:rsidRPr="00A25F2C" w:rsidRDefault="007F4791" w:rsidP="007D0BE0">
            <w:pPr>
              <w:pStyle w:val="TableBodyText"/>
              <w:spacing w:before="30" w:after="30"/>
              <w:jc w:val="right"/>
            </w:pPr>
            <w:r w:rsidRPr="00A25F2C">
              <w:t>388.1</w:t>
            </w:r>
          </w:p>
        </w:tc>
      </w:tr>
      <w:tr w:rsidR="005F49BD" w:rsidRPr="00A25F2C" w14:paraId="1D0A5B7C" w14:textId="77777777" w:rsidTr="00D83413">
        <w:tc>
          <w:tcPr>
            <w:tcW w:w="1547" w:type="pct"/>
          </w:tcPr>
          <w:p w14:paraId="3FF584C9" w14:textId="77777777" w:rsidR="007F4791" w:rsidRPr="00A25F2C" w:rsidRDefault="007F4791" w:rsidP="007D0BE0">
            <w:pPr>
              <w:pStyle w:val="TableBodyText"/>
              <w:spacing w:before="30" w:after="30"/>
            </w:pPr>
            <w:r w:rsidRPr="00A25F2C">
              <w:t>Interest on VDP service concession liability and leases</w:t>
            </w:r>
          </w:p>
        </w:tc>
        <w:tc>
          <w:tcPr>
            <w:tcW w:w="493" w:type="pct"/>
          </w:tcPr>
          <w:p w14:paraId="48F3F420" w14:textId="77777777" w:rsidR="007F4791" w:rsidRPr="00A25F2C" w:rsidRDefault="007F4791" w:rsidP="007D0BE0">
            <w:pPr>
              <w:pStyle w:val="TableBodyText"/>
              <w:spacing w:before="30" w:after="30"/>
              <w:jc w:val="right"/>
            </w:pPr>
            <w:r w:rsidRPr="00A25F2C">
              <w:t>399.7</w:t>
            </w:r>
          </w:p>
        </w:tc>
        <w:tc>
          <w:tcPr>
            <w:tcW w:w="493" w:type="pct"/>
          </w:tcPr>
          <w:p w14:paraId="51E9590C" w14:textId="77777777" w:rsidR="007F4791" w:rsidRPr="00A25F2C" w:rsidRDefault="007F4791" w:rsidP="007D0BE0">
            <w:pPr>
              <w:pStyle w:val="TableBodyText"/>
              <w:spacing w:before="30" w:after="30"/>
              <w:jc w:val="right"/>
            </w:pPr>
            <w:r w:rsidRPr="00A25F2C">
              <w:t>399.8</w:t>
            </w:r>
          </w:p>
        </w:tc>
        <w:tc>
          <w:tcPr>
            <w:tcW w:w="493" w:type="pct"/>
          </w:tcPr>
          <w:p w14:paraId="000A1102" w14:textId="77777777" w:rsidR="007F4791" w:rsidRPr="00A25F2C" w:rsidRDefault="007F4791" w:rsidP="007D0BE0">
            <w:pPr>
              <w:pStyle w:val="TableBodyText"/>
              <w:spacing w:before="30" w:after="30"/>
              <w:jc w:val="right"/>
            </w:pPr>
            <w:r w:rsidRPr="00A25F2C">
              <w:t>395.2</w:t>
            </w:r>
          </w:p>
        </w:tc>
        <w:tc>
          <w:tcPr>
            <w:tcW w:w="494" w:type="pct"/>
          </w:tcPr>
          <w:p w14:paraId="1D3B1F91" w14:textId="77777777" w:rsidR="007F4791" w:rsidRPr="00A25F2C" w:rsidRDefault="007F4791" w:rsidP="007D0BE0">
            <w:pPr>
              <w:pStyle w:val="TableBodyText"/>
              <w:spacing w:before="30" w:after="30"/>
              <w:jc w:val="right"/>
            </w:pPr>
            <w:r w:rsidRPr="00A25F2C">
              <w:t>389.4</w:t>
            </w:r>
          </w:p>
        </w:tc>
        <w:tc>
          <w:tcPr>
            <w:tcW w:w="493" w:type="pct"/>
          </w:tcPr>
          <w:p w14:paraId="0036CD1B" w14:textId="77777777" w:rsidR="007F4791" w:rsidRPr="00A25F2C" w:rsidRDefault="007F4791" w:rsidP="007D0BE0">
            <w:pPr>
              <w:pStyle w:val="TableBodyText"/>
              <w:spacing w:before="30" w:after="30"/>
              <w:jc w:val="right"/>
            </w:pPr>
            <w:r w:rsidRPr="00A25F2C">
              <w:t>382.1</w:t>
            </w:r>
          </w:p>
        </w:tc>
        <w:tc>
          <w:tcPr>
            <w:tcW w:w="493" w:type="pct"/>
          </w:tcPr>
          <w:p w14:paraId="5167343D" w14:textId="77777777" w:rsidR="007F4791" w:rsidRPr="00A25F2C" w:rsidRDefault="007F4791" w:rsidP="007D0BE0">
            <w:pPr>
              <w:pStyle w:val="TableBodyText"/>
              <w:spacing w:before="30" w:after="30"/>
              <w:jc w:val="right"/>
            </w:pPr>
            <w:r w:rsidRPr="00A25F2C">
              <w:t>373.6</w:t>
            </w:r>
          </w:p>
        </w:tc>
        <w:tc>
          <w:tcPr>
            <w:tcW w:w="494" w:type="pct"/>
          </w:tcPr>
          <w:p w14:paraId="7F4BE12C" w14:textId="77777777" w:rsidR="007F4791" w:rsidRPr="00A25F2C" w:rsidRDefault="007F4791" w:rsidP="007D0BE0">
            <w:pPr>
              <w:pStyle w:val="TableBodyText"/>
              <w:spacing w:before="30" w:after="30"/>
              <w:jc w:val="right"/>
            </w:pPr>
            <w:r w:rsidRPr="00A25F2C">
              <w:t>362.7</w:t>
            </w:r>
          </w:p>
        </w:tc>
      </w:tr>
      <w:tr w:rsidR="005F49BD" w:rsidRPr="00A25F2C" w14:paraId="6A9DEC53" w14:textId="77777777" w:rsidTr="00D83413">
        <w:tc>
          <w:tcPr>
            <w:tcW w:w="1547" w:type="pct"/>
          </w:tcPr>
          <w:p w14:paraId="31645952" w14:textId="77777777" w:rsidR="007F4791" w:rsidRPr="00A25F2C" w:rsidRDefault="007F4791" w:rsidP="007D0BE0">
            <w:pPr>
              <w:pStyle w:val="TableBodyText"/>
              <w:spacing w:before="30" w:after="30"/>
            </w:pPr>
            <w:r w:rsidRPr="00A25F2C">
              <w:t>Tax Expense</w:t>
            </w:r>
          </w:p>
        </w:tc>
        <w:tc>
          <w:tcPr>
            <w:tcW w:w="493" w:type="pct"/>
          </w:tcPr>
          <w:p w14:paraId="71C37E3F" w14:textId="77777777" w:rsidR="007F4791" w:rsidRPr="00A25F2C" w:rsidRDefault="007F4791" w:rsidP="007D0BE0">
            <w:pPr>
              <w:pStyle w:val="TableBodyText"/>
              <w:spacing w:before="30" w:after="30"/>
              <w:jc w:val="right"/>
            </w:pPr>
            <w:r w:rsidRPr="00A25F2C">
              <w:t>78.1</w:t>
            </w:r>
          </w:p>
        </w:tc>
        <w:tc>
          <w:tcPr>
            <w:tcW w:w="493" w:type="pct"/>
          </w:tcPr>
          <w:p w14:paraId="73CF2075" w14:textId="77777777" w:rsidR="007F4791" w:rsidRPr="00A25F2C" w:rsidRDefault="007F4791" w:rsidP="007D0BE0">
            <w:pPr>
              <w:pStyle w:val="TableBodyText"/>
              <w:spacing w:before="30" w:after="30"/>
              <w:jc w:val="right"/>
            </w:pPr>
            <w:r w:rsidRPr="00A25F2C">
              <w:t>72.0</w:t>
            </w:r>
          </w:p>
        </w:tc>
        <w:tc>
          <w:tcPr>
            <w:tcW w:w="493" w:type="pct"/>
          </w:tcPr>
          <w:p w14:paraId="6C1D2628" w14:textId="77777777" w:rsidR="007F4791" w:rsidRPr="00A25F2C" w:rsidRDefault="007F4791" w:rsidP="007D0BE0">
            <w:pPr>
              <w:pStyle w:val="TableBodyText"/>
              <w:spacing w:before="30" w:after="30"/>
              <w:jc w:val="right"/>
            </w:pPr>
            <w:r w:rsidRPr="00A25F2C">
              <w:t>87.3</w:t>
            </w:r>
          </w:p>
        </w:tc>
        <w:tc>
          <w:tcPr>
            <w:tcW w:w="494" w:type="pct"/>
          </w:tcPr>
          <w:p w14:paraId="354DBDE6" w14:textId="77777777" w:rsidR="007F4791" w:rsidRPr="00A25F2C" w:rsidRDefault="007F4791" w:rsidP="007D0BE0">
            <w:pPr>
              <w:pStyle w:val="TableBodyText"/>
              <w:spacing w:before="30" w:after="30"/>
              <w:jc w:val="right"/>
            </w:pPr>
            <w:r w:rsidRPr="00A25F2C">
              <w:t>69.1</w:t>
            </w:r>
          </w:p>
        </w:tc>
        <w:tc>
          <w:tcPr>
            <w:tcW w:w="493" w:type="pct"/>
          </w:tcPr>
          <w:p w14:paraId="027AF3A7" w14:textId="77777777" w:rsidR="007F4791" w:rsidRPr="00A25F2C" w:rsidRDefault="007F4791" w:rsidP="007D0BE0">
            <w:pPr>
              <w:pStyle w:val="TableBodyText"/>
              <w:spacing w:before="30" w:after="30"/>
              <w:jc w:val="right"/>
            </w:pPr>
            <w:r w:rsidRPr="00A25F2C">
              <w:t>90.0</w:t>
            </w:r>
          </w:p>
        </w:tc>
        <w:tc>
          <w:tcPr>
            <w:tcW w:w="493" w:type="pct"/>
          </w:tcPr>
          <w:p w14:paraId="41E21201" w14:textId="77777777" w:rsidR="007F4791" w:rsidRPr="00A25F2C" w:rsidRDefault="007F4791" w:rsidP="007D0BE0">
            <w:pPr>
              <w:pStyle w:val="TableBodyText"/>
              <w:spacing w:before="30" w:after="30"/>
              <w:jc w:val="right"/>
            </w:pPr>
            <w:r w:rsidRPr="00A25F2C">
              <w:t>87.6</w:t>
            </w:r>
          </w:p>
        </w:tc>
        <w:tc>
          <w:tcPr>
            <w:tcW w:w="494" w:type="pct"/>
          </w:tcPr>
          <w:p w14:paraId="18D97D05" w14:textId="77777777" w:rsidR="007F4791" w:rsidRPr="00A25F2C" w:rsidRDefault="007F4791" w:rsidP="007D0BE0">
            <w:pPr>
              <w:pStyle w:val="TableBodyText"/>
              <w:spacing w:before="30" w:after="30"/>
              <w:jc w:val="right"/>
            </w:pPr>
            <w:r w:rsidRPr="00A25F2C">
              <w:t>68.5</w:t>
            </w:r>
          </w:p>
        </w:tc>
      </w:tr>
      <w:tr w:rsidR="005F49BD" w:rsidRPr="00A25F2C" w14:paraId="543B1AC6" w14:textId="77777777" w:rsidTr="00D83413">
        <w:tc>
          <w:tcPr>
            <w:tcW w:w="1547" w:type="pct"/>
          </w:tcPr>
          <w:p w14:paraId="47801F3E" w14:textId="77777777" w:rsidR="007F4791" w:rsidRPr="00A25F2C" w:rsidRDefault="007F4791" w:rsidP="007D0BE0">
            <w:pPr>
              <w:pStyle w:val="TableBodyText"/>
              <w:spacing w:before="30" w:after="30"/>
            </w:pPr>
            <w:r w:rsidRPr="00A25F2C">
              <w:rPr>
                <w:b/>
              </w:rPr>
              <w:t>Net Profit After Tax (NPAT)</w:t>
            </w:r>
          </w:p>
        </w:tc>
        <w:tc>
          <w:tcPr>
            <w:tcW w:w="493" w:type="pct"/>
          </w:tcPr>
          <w:p w14:paraId="193B675D" w14:textId="77777777" w:rsidR="007F4791" w:rsidRPr="00A25F2C" w:rsidRDefault="007F4791" w:rsidP="007D0BE0">
            <w:pPr>
              <w:pStyle w:val="TableBodyText"/>
              <w:spacing w:before="30" w:after="30"/>
              <w:jc w:val="right"/>
            </w:pPr>
            <w:r w:rsidRPr="00A25F2C">
              <w:rPr>
                <w:b/>
              </w:rPr>
              <w:t>102.8</w:t>
            </w:r>
          </w:p>
        </w:tc>
        <w:tc>
          <w:tcPr>
            <w:tcW w:w="493" w:type="pct"/>
          </w:tcPr>
          <w:p w14:paraId="16F92C76" w14:textId="77777777" w:rsidR="007F4791" w:rsidRPr="00A25F2C" w:rsidRDefault="007F4791" w:rsidP="007D0BE0">
            <w:pPr>
              <w:pStyle w:val="TableBodyText"/>
              <w:spacing w:before="30" w:after="30"/>
              <w:jc w:val="right"/>
            </w:pPr>
            <w:r w:rsidRPr="00A25F2C">
              <w:rPr>
                <w:b/>
              </w:rPr>
              <w:t>88.8</w:t>
            </w:r>
          </w:p>
        </w:tc>
        <w:tc>
          <w:tcPr>
            <w:tcW w:w="493" w:type="pct"/>
          </w:tcPr>
          <w:p w14:paraId="702B5DE4" w14:textId="77777777" w:rsidR="007F4791" w:rsidRPr="00A25F2C" w:rsidRDefault="007F4791" w:rsidP="007D0BE0">
            <w:pPr>
              <w:pStyle w:val="TableBodyText"/>
              <w:spacing w:before="30" w:after="30"/>
              <w:jc w:val="right"/>
            </w:pPr>
            <w:r w:rsidRPr="00A25F2C">
              <w:rPr>
                <w:b/>
              </w:rPr>
              <w:t>124.2</w:t>
            </w:r>
          </w:p>
        </w:tc>
        <w:tc>
          <w:tcPr>
            <w:tcW w:w="494" w:type="pct"/>
          </w:tcPr>
          <w:p w14:paraId="4ABDE86B" w14:textId="77777777" w:rsidR="007F4791" w:rsidRPr="00A25F2C" w:rsidRDefault="007F4791" w:rsidP="007D0BE0">
            <w:pPr>
              <w:pStyle w:val="TableBodyText"/>
              <w:spacing w:before="30" w:after="30"/>
              <w:jc w:val="right"/>
            </w:pPr>
            <w:r w:rsidRPr="00A25F2C">
              <w:rPr>
                <w:b/>
              </w:rPr>
              <w:t>81.8</w:t>
            </w:r>
          </w:p>
        </w:tc>
        <w:tc>
          <w:tcPr>
            <w:tcW w:w="493" w:type="pct"/>
          </w:tcPr>
          <w:p w14:paraId="728A1C9F" w14:textId="77777777" w:rsidR="007F4791" w:rsidRPr="00A25F2C" w:rsidRDefault="007F4791" w:rsidP="007D0BE0">
            <w:pPr>
              <w:pStyle w:val="TableBodyText"/>
              <w:spacing w:before="30" w:after="30"/>
              <w:jc w:val="right"/>
            </w:pPr>
            <w:r w:rsidRPr="00A25F2C">
              <w:rPr>
                <w:b/>
              </w:rPr>
              <w:t>130.7</w:t>
            </w:r>
          </w:p>
        </w:tc>
        <w:tc>
          <w:tcPr>
            <w:tcW w:w="493" w:type="pct"/>
          </w:tcPr>
          <w:p w14:paraId="3778F21A" w14:textId="77777777" w:rsidR="007F4791" w:rsidRPr="00A25F2C" w:rsidRDefault="007F4791" w:rsidP="007D0BE0">
            <w:pPr>
              <w:pStyle w:val="TableBodyText"/>
              <w:spacing w:before="30" w:after="30"/>
              <w:jc w:val="right"/>
            </w:pPr>
            <w:r w:rsidRPr="00A25F2C">
              <w:rPr>
                <w:b/>
              </w:rPr>
              <w:t>125.5</w:t>
            </w:r>
          </w:p>
        </w:tc>
        <w:tc>
          <w:tcPr>
            <w:tcW w:w="494" w:type="pct"/>
          </w:tcPr>
          <w:p w14:paraId="35ECB07A" w14:textId="77777777" w:rsidR="007F4791" w:rsidRPr="00A25F2C" w:rsidRDefault="007F4791" w:rsidP="007D0BE0">
            <w:pPr>
              <w:pStyle w:val="TableBodyText"/>
              <w:spacing w:before="30" w:after="30"/>
              <w:jc w:val="right"/>
              <w:rPr>
                <w:b/>
              </w:rPr>
            </w:pPr>
            <w:r w:rsidRPr="00A25F2C">
              <w:rPr>
                <w:b/>
              </w:rPr>
              <w:t>81.1</w:t>
            </w:r>
          </w:p>
        </w:tc>
      </w:tr>
      <w:tr w:rsidR="00425BA9" w:rsidRPr="00A25F2C" w14:paraId="107E2AC3" w14:textId="77777777" w:rsidTr="00D83413">
        <w:tc>
          <w:tcPr>
            <w:tcW w:w="1547" w:type="pct"/>
          </w:tcPr>
          <w:p w14:paraId="23890B78" w14:textId="4C2C5C8F" w:rsidR="00425BA9" w:rsidRPr="00A25F2C" w:rsidRDefault="00155A67" w:rsidP="007D0BE0">
            <w:pPr>
              <w:pStyle w:val="TableBodyText"/>
              <w:spacing w:before="30" w:after="30"/>
              <w:rPr>
                <w:b/>
              </w:rPr>
            </w:pPr>
            <w:r w:rsidRPr="00A25F2C">
              <w:rPr>
                <w:b/>
              </w:rPr>
              <w:t>Balance Sheet</w:t>
            </w:r>
          </w:p>
        </w:tc>
        <w:tc>
          <w:tcPr>
            <w:tcW w:w="493" w:type="pct"/>
          </w:tcPr>
          <w:p w14:paraId="5B89BEA1" w14:textId="26997DB9" w:rsidR="00425BA9" w:rsidRDefault="00995D31" w:rsidP="007D0BE0">
            <w:pPr>
              <w:pStyle w:val="TableBodyText"/>
              <w:spacing w:before="30" w:after="30"/>
              <w:jc w:val="right"/>
            </w:pPr>
            <w:r>
              <w:t>N/A</w:t>
            </w:r>
          </w:p>
        </w:tc>
        <w:tc>
          <w:tcPr>
            <w:tcW w:w="493" w:type="pct"/>
          </w:tcPr>
          <w:p w14:paraId="4E62FDA1" w14:textId="5D11BC14" w:rsidR="00425BA9" w:rsidRDefault="00995D31" w:rsidP="007D0BE0">
            <w:pPr>
              <w:pStyle w:val="TableBodyText"/>
              <w:spacing w:before="30" w:after="30"/>
              <w:jc w:val="right"/>
            </w:pPr>
            <w:r>
              <w:t>N/A</w:t>
            </w:r>
          </w:p>
        </w:tc>
        <w:tc>
          <w:tcPr>
            <w:tcW w:w="493" w:type="pct"/>
          </w:tcPr>
          <w:p w14:paraId="46A8ECD8" w14:textId="3BFA495D" w:rsidR="00425BA9" w:rsidRDefault="00995D31" w:rsidP="007D0BE0">
            <w:pPr>
              <w:pStyle w:val="TableBodyText"/>
              <w:spacing w:before="30" w:after="30"/>
              <w:jc w:val="right"/>
            </w:pPr>
            <w:r>
              <w:t>N/A</w:t>
            </w:r>
          </w:p>
        </w:tc>
        <w:tc>
          <w:tcPr>
            <w:tcW w:w="494" w:type="pct"/>
          </w:tcPr>
          <w:p w14:paraId="5992EEC3" w14:textId="4506F752" w:rsidR="00425BA9" w:rsidRDefault="00995D31" w:rsidP="007D0BE0">
            <w:pPr>
              <w:pStyle w:val="TableBodyText"/>
              <w:spacing w:before="30" w:after="30"/>
              <w:jc w:val="right"/>
            </w:pPr>
            <w:r>
              <w:t>N/A</w:t>
            </w:r>
          </w:p>
        </w:tc>
        <w:tc>
          <w:tcPr>
            <w:tcW w:w="493" w:type="pct"/>
          </w:tcPr>
          <w:p w14:paraId="74DE95F0" w14:textId="4FF22526" w:rsidR="00425BA9" w:rsidRDefault="00995D31" w:rsidP="007D0BE0">
            <w:pPr>
              <w:pStyle w:val="TableBodyText"/>
              <w:spacing w:before="30" w:after="30"/>
              <w:jc w:val="right"/>
            </w:pPr>
            <w:r>
              <w:t>N/A</w:t>
            </w:r>
          </w:p>
        </w:tc>
        <w:tc>
          <w:tcPr>
            <w:tcW w:w="493" w:type="pct"/>
          </w:tcPr>
          <w:p w14:paraId="1A2B15FF" w14:textId="58166A8D" w:rsidR="00425BA9" w:rsidRDefault="00995D31" w:rsidP="007D0BE0">
            <w:pPr>
              <w:pStyle w:val="TableBodyText"/>
              <w:spacing w:before="30" w:after="30"/>
              <w:jc w:val="right"/>
            </w:pPr>
            <w:r>
              <w:t>N/A</w:t>
            </w:r>
          </w:p>
        </w:tc>
        <w:tc>
          <w:tcPr>
            <w:tcW w:w="494" w:type="pct"/>
          </w:tcPr>
          <w:p w14:paraId="01F78A38" w14:textId="4E50B74D" w:rsidR="00425BA9" w:rsidRDefault="00995D31" w:rsidP="007D0BE0">
            <w:pPr>
              <w:pStyle w:val="TableBodyText"/>
              <w:spacing w:before="30" w:after="30"/>
              <w:jc w:val="right"/>
            </w:pPr>
            <w:r>
              <w:t>N/A</w:t>
            </w:r>
          </w:p>
        </w:tc>
      </w:tr>
      <w:tr w:rsidR="00425BA9" w:rsidRPr="00A25F2C" w14:paraId="4B38B097" w14:textId="77777777" w:rsidTr="00D83413">
        <w:tc>
          <w:tcPr>
            <w:tcW w:w="1547" w:type="pct"/>
          </w:tcPr>
          <w:p w14:paraId="30EB9409" w14:textId="6B0B02EB" w:rsidR="00425BA9" w:rsidRPr="00A25F2C" w:rsidRDefault="00425BA9" w:rsidP="007D0BE0">
            <w:pPr>
              <w:pStyle w:val="TableBodyText"/>
              <w:spacing w:before="30" w:after="30"/>
              <w:rPr>
                <w:b/>
              </w:rPr>
            </w:pPr>
            <w:r w:rsidRPr="00A25F2C">
              <w:lastRenderedPageBreak/>
              <w:t>Total Assets</w:t>
            </w:r>
          </w:p>
        </w:tc>
        <w:tc>
          <w:tcPr>
            <w:tcW w:w="493" w:type="pct"/>
          </w:tcPr>
          <w:p w14:paraId="589AED5E" w14:textId="207BE836" w:rsidR="00425BA9" w:rsidRDefault="00425BA9" w:rsidP="007D0BE0">
            <w:pPr>
              <w:pStyle w:val="TableBodyText"/>
              <w:spacing w:before="30" w:after="30"/>
              <w:jc w:val="right"/>
            </w:pPr>
            <w:r w:rsidRPr="00A25F2C">
              <w:t>17,128.6</w:t>
            </w:r>
          </w:p>
        </w:tc>
        <w:tc>
          <w:tcPr>
            <w:tcW w:w="493" w:type="pct"/>
          </w:tcPr>
          <w:p w14:paraId="4A910FA8" w14:textId="4C881664" w:rsidR="00425BA9" w:rsidRDefault="00425BA9" w:rsidP="007D0BE0">
            <w:pPr>
              <w:pStyle w:val="TableBodyText"/>
              <w:spacing w:before="30" w:after="30"/>
              <w:jc w:val="right"/>
            </w:pPr>
            <w:r w:rsidRPr="00A25F2C">
              <w:t>16,913.6</w:t>
            </w:r>
          </w:p>
        </w:tc>
        <w:tc>
          <w:tcPr>
            <w:tcW w:w="493" w:type="pct"/>
          </w:tcPr>
          <w:p w14:paraId="3A127813" w14:textId="1BCFCBB4" w:rsidR="00425BA9" w:rsidRDefault="00425BA9" w:rsidP="007D0BE0">
            <w:pPr>
              <w:pStyle w:val="TableBodyText"/>
              <w:spacing w:before="30" w:after="30"/>
              <w:jc w:val="right"/>
            </w:pPr>
            <w:r w:rsidRPr="00A25F2C">
              <w:t>17,796.8</w:t>
            </w:r>
          </w:p>
        </w:tc>
        <w:tc>
          <w:tcPr>
            <w:tcW w:w="494" w:type="pct"/>
          </w:tcPr>
          <w:p w14:paraId="719534C9" w14:textId="0DC675E9" w:rsidR="00425BA9" w:rsidRDefault="00425BA9" w:rsidP="007D0BE0">
            <w:pPr>
              <w:pStyle w:val="TableBodyText"/>
              <w:spacing w:before="30" w:after="30"/>
              <w:jc w:val="right"/>
            </w:pPr>
            <w:r w:rsidRPr="00A25F2C">
              <w:t>18,463.2</w:t>
            </w:r>
          </w:p>
        </w:tc>
        <w:tc>
          <w:tcPr>
            <w:tcW w:w="493" w:type="pct"/>
          </w:tcPr>
          <w:p w14:paraId="0416F297" w14:textId="11A623FE" w:rsidR="00425BA9" w:rsidRDefault="00425BA9" w:rsidP="007D0BE0">
            <w:pPr>
              <w:pStyle w:val="TableBodyText"/>
              <w:spacing w:before="30" w:after="30"/>
              <w:jc w:val="right"/>
            </w:pPr>
            <w:r w:rsidRPr="00A25F2C">
              <w:t>18,870.6</w:t>
            </w:r>
          </w:p>
        </w:tc>
        <w:tc>
          <w:tcPr>
            <w:tcW w:w="493" w:type="pct"/>
          </w:tcPr>
          <w:p w14:paraId="7F655029" w14:textId="2DBF9187" w:rsidR="00425BA9" w:rsidRDefault="00425BA9" w:rsidP="007D0BE0">
            <w:pPr>
              <w:pStyle w:val="TableBodyText"/>
              <w:spacing w:before="30" w:after="30"/>
              <w:jc w:val="right"/>
            </w:pPr>
            <w:r w:rsidRPr="00A25F2C">
              <w:t>19,875.9</w:t>
            </w:r>
          </w:p>
        </w:tc>
        <w:tc>
          <w:tcPr>
            <w:tcW w:w="494" w:type="pct"/>
          </w:tcPr>
          <w:p w14:paraId="6CC135C5" w14:textId="293EC21C" w:rsidR="00425BA9" w:rsidRDefault="00425BA9" w:rsidP="007D0BE0">
            <w:pPr>
              <w:pStyle w:val="TableBodyText"/>
              <w:spacing w:before="30" w:after="30"/>
              <w:jc w:val="right"/>
            </w:pPr>
            <w:r w:rsidRPr="00A25F2C">
              <w:t>21,151.8</w:t>
            </w:r>
          </w:p>
        </w:tc>
      </w:tr>
      <w:tr w:rsidR="00425BA9" w:rsidRPr="00A25F2C" w14:paraId="760D3436" w14:textId="77777777" w:rsidTr="00D83413">
        <w:tc>
          <w:tcPr>
            <w:tcW w:w="1547" w:type="pct"/>
          </w:tcPr>
          <w:p w14:paraId="04B216DB" w14:textId="67A96C62" w:rsidR="00425BA9" w:rsidRPr="00A25F2C" w:rsidRDefault="00425BA9" w:rsidP="007D0BE0">
            <w:pPr>
              <w:pStyle w:val="TableBodyText"/>
              <w:spacing w:before="30" w:after="30"/>
              <w:rPr>
                <w:b/>
              </w:rPr>
            </w:pPr>
            <w:r w:rsidRPr="00A25F2C">
              <w:t>Total Liabilities</w:t>
            </w:r>
          </w:p>
        </w:tc>
        <w:tc>
          <w:tcPr>
            <w:tcW w:w="493" w:type="pct"/>
          </w:tcPr>
          <w:p w14:paraId="3F237373" w14:textId="69AFDEFD" w:rsidR="00425BA9" w:rsidRDefault="00425BA9" w:rsidP="007D0BE0">
            <w:pPr>
              <w:pStyle w:val="TableBodyText"/>
              <w:spacing w:before="30" w:after="30"/>
              <w:jc w:val="right"/>
            </w:pPr>
            <w:r w:rsidRPr="00A25F2C">
              <w:t>10,042.5</w:t>
            </w:r>
          </w:p>
        </w:tc>
        <w:tc>
          <w:tcPr>
            <w:tcW w:w="493" w:type="pct"/>
          </w:tcPr>
          <w:p w14:paraId="4E10DCD7" w14:textId="1B0A85A0" w:rsidR="00425BA9" w:rsidRDefault="00425BA9" w:rsidP="007D0BE0">
            <w:pPr>
              <w:pStyle w:val="TableBodyText"/>
              <w:spacing w:before="30" w:after="30"/>
              <w:jc w:val="right"/>
            </w:pPr>
            <w:r w:rsidRPr="00A25F2C">
              <w:t>10,180.2</w:t>
            </w:r>
          </w:p>
        </w:tc>
        <w:tc>
          <w:tcPr>
            <w:tcW w:w="493" w:type="pct"/>
          </w:tcPr>
          <w:p w14:paraId="77F50AAE" w14:textId="7DB50C4F" w:rsidR="00425BA9" w:rsidRDefault="00425BA9" w:rsidP="007D0BE0">
            <w:pPr>
              <w:pStyle w:val="TableBodyText"/>
              <w:spacing w:before="30" w:after="30"/>
              <w:jc w:val="right"/>
            </w:pPr>
            <w:r w:rsidRPr="00A25F2C">
              <w:t>10,634.4</w:t>
            </w:r>
          </w:p>
        </w:tc>
        <w:tc>
          <w:tcPr>
            <w:tcW w:w="494" w:type="pct"/>
          </w:tcPr>
          <w:p w14:paraId="0EA7A89B" w14:textId="25A633F4" w:rsidR="00425BA9" w:rsidRDefault="00425BA9" w:rsidP="007D0BE0">
            <w:pPr>
              <w:pStyle w:val="TableBodyText"/>
              <w:spacing w:before="30" w:after="30"/>
              <w:jc w:val="right"/>
            </w:pPr>
            <w:r w:rsidRPr="00A25F2C">
              <w:t>11,231.0</w:t>
            </w:r>
          </w:p>
        </w:tc>
        <w:tc>
          <w:tcPr>
            <w:tcW w:w="493" w:type="pct"/>
          </w:tcPr>
          <w:p w14:paraId="50FBEB4B" w14:textId="7423D7DA" w:rsidR="00425BA9" w:rsidRDefault="00425BA9" w:rsidP="007D0BE0">
            <w:pPr>
              <w:pStyle w:val="TableBodyText"/>
              <w:spacing w:before="30" w:after="30"/>
              <w:jc w:val="right"/>
            </w:pPr>
            <w:r w:rsidRPr="00A25F2C">
              <w:t>11,525.9</w:t>
            </w:r>
          </w:p>
        </w:tc>
        <w:tc>
          <w:tcPr>
            <w:tcW w:w="493" w:type="pct"/>
          </w:tcPr>
          <w:p w14:paraId="6B7E83CB" w14:textId="1E1CB996" w:rsidR="00425BA9" w:rsidRDefault="00425BA9" w:rsidP="007D0BE0">
            <w:pPr>
              <w:pStyle w:val="TableBodyText"/>
              <w:spacing w:before="30" w:after="30"/>
              <w:jc w:val="right"/>
            </w:pPr>
            <w:r w:rsidRPr="00A25F2C">
              <w:t>12,440.6</w:t>
            </w:r>
          </w:p>
        </w:tc>
        <w:tc>
          <w:tcPr>
            <w:tcW w:w="494" w:type="pct"/>
          </w:tcPr>
          <w:p w14:paraId="6F9303FF" w14:textId="4F087ED7" w:rsidR="00425BA9" w:rsidRDefault="00425BA9" w:rsidP="007D0BE0">
            <w:pPr>
              <w:pStyle w:val="TableBodyText"/>
              <w:spacing w:before="30" w:after="30"/>
              <w:jc w:val="right"/>
            </w:pPr>
            <w:r w:rsidRPr="00A25F2C">
              <w:t>13,666.1</w:t>
            </w:r>
          </w:p>
        </w:tc>
      </w:tr>
      <w:tr w:rsidR="00425BA9" w:rsidRPr="00A25F2C" w14:paraId="30A0AABF" w14:textId="77777777" w:rsidTr="00D83413">
        <w:tc>
          <w:tcPr>
            <w:tcW w:w="1547" w:type="pct"/>
          </w:tcPr>
          <w:p w14:paraId="483026F2" w14:textId="13F6E5A9" w:rsidR="00425BA9" w:rsidRPr="00A25F2C" w:rsidRDefault="00425BA9" w:rsidP="007D0BE0">
            <w:pPr>
              <w:pStyle w:val="TableBodyText"/>
              <w:spacing w:before="30" w:after="30"/>
              <w:rPr>
                <w:b/>
              </w:rPr>
            </w:pPr>
            <w:r w:rsidRPr="00A25F2C">
              <w:t>Total Equity</w:t>
            </w:r>
          </w:p>
        </w:tc>
        <w:tc>
          <w:tcPr>
            <w:tcW w:w="493" w:type="pct"/>
          </w:tcPr>
          <w:p w14:paraId="7A52DB1C" w14:textId="01D538EC" w:rsidR="00425BA9" w:rsidRDefault="00425BA9" w:rsidP="007D0BE0">
            <w:pPr>
              <w:pStyle w:val="TableBodyText"/>
              <w:spacing w:before="30" w:after="30"/>
              <w:jc w:val="right"/>
            </w:pPr>
            <w:r w:rsidRPr="00A25F2C">
              <w:t>7,086.1</w:t>
            </w:r>
          </w:p>
        </w:tc>
        <w:tc>
          <w:tcPr>
            <w:tcW w:w="493" w:type="pct"/>
          </w:tcPr>
          <w:p w14:paraId="57ACC006" w14:textId="6BF575DF" w:rsidR="00425BA9" w:rsidRDefault="00425BA9" w:rsidP="007D0BE0">
            <w:pPr>
              <w:pStyle w:val="TableBodyText"/>
              <w:spacing w:before="30" w:after="30"/>
              <w:jc w:val="right"/>
            </w:pPr>
            <w:r w:rsidRPr="00A25F2C">
              <w:t>6,733.4</w:t>
            </w:r>
          </w:p>
        </w:tc>
        <w:tc>
          <w:tcPr>
            <w:tcW w:w="493" w:type="pct"/>
          </w:tcPr>
          <w:p w14:paraId="194F93F4" w14:textId="42B7D86F" w:rsidR="00425BA9" w:rsidRDefault="00425BA9" w:rsidP="007D0BE0">
            <w:pPr>
              <w:pStyle w:val="TableBodyText"/>
              <w:spacing w:before="30" w:after="30"/>
              <w:jc w:val="right"/>
            </w:pPr>
            <w:r w:rsidRPr="00A25F2C">
              <w:t>7,162.4</w:t>
            </w:r>
          </w:p>
        </w:tc>
        <w:tc>
          <w:tcPr>
            <w:tcW w:w="494" w:type="pct"/>
          </w:tcPr>
          <w:p w14:paraId="1CEBAF17" w14:textId="21F704CD" w:rsidR="00425BA9" w:rsidRDefault="00425BA9" w:rsidP="007D0BE0">
            <w:pPr>
              <w:pStyle w:val="TableBodyText"/>
              <w:spacing w:before="30" w:after="30"/>
              <w:jc w:val="right"/>
            </w:pPr>
            <w:r w:rsidRPr="00A25F2C">
              <w:t>7,232.2</w:t>
            </w:r>
          </w:p>
        </w:tc>
        <w:tc>
          <w:tcPr>
            <w:tcW w:w="493" w:type="pct"/>
          </w:tcPr>
          <w:p w14:paraId="18A8C8B8" w14:textId="1C7FE439" w:rsidR="00425BA9" w:rsidRDefault="00425BA9" w:rsidP="007D0BE0">
            <w:pPr>
              <w:pStyle w:val="TableBodyText"/>
              <w:spacing w:before="30" w:after="30"/>
              <w:jc w:val="right"/>
            </w:pPr>
            <w:r w:rsidRPr="00A25F2C">
              <w:t>7,344.7</w:t>
            </w:r>
          </w:p>
        </w:tc>
        <w:tc>
          <w:tcPr>
            <w:tcW w:w="493" w:type="pct"/>
          </w:tcPr>
          <w:p w14:paraId="1E28F9A3" w14:textId="71631793" w:rsidR="00425BA9" w:rsidRDefault="00425BA9" w:rsidP="007D0BE0">
            <w:pPr>
              <w:pStyle w:val="TableBodyText"/>
              <w:spacing w:before="30" w:after="30"/>
              <w:jc w:val="right"/>
            </w:pPr>
            <w:r w:rsidRPr="00A25F2C">
              <w:t>7,435.3</w:t>
            </w:r>
          </w:p>
        </w:tc>
        <w:tc>
          <w:tcPr>
            <w:tcW w:w="494" w:type="pct"/>
          </w:tcPr>
          <w:p w14:paraId="24FD9DEF" w14:textId="018C5D70" w:rsidR="00425BA9" w:rsidRDefault="00425BA9" w:rsidP="007D0BE0">
            <w:pPr>
              <w:pStyle w:val="TableBodyText"/>
              <w:spacing w:before="30" w:after="30"/>
              <w:jc w:val="right"/>
            </w:pPr>
            <w:r w:rsidRPr="00A25F2C">
              <w:t>7,485.7</w:t>
            </w:r>
          </w:p>
        </w:tc>
      </w:tr>
      <w:tr w:rsidR="00425BA9" w:rsidRPr="00A25F2C" w14:paraId="3A4C8C3E" w14:textId="77777777" w:rsidTr="00D83413">
        <w:tc>
          <w:tcPr>
            <w:tcW w:w="1547" w:type="pct"/>
          </w:tcPr>
          <w:p w14:paraId="7DE4F21B" w14:textId="3F596485" w:rsidR="00425BA9" w:rsidRPr="00A25F2C" w:rsidRDefault="00155A67" w:rsidP="007D0BE0">
            <w:pPr>
              <w:pStyle w:val="TableBodyText"/>
              <w:spacing w:before="30" w:after="30"/>
              <w:rPr>
                <w:b/>
              </w:rPr>
            </w:pPr>
            <w:r w:rsidRPr="00A25F2C">
              <w:rPr>
                <w:b/>
              </w:rPr>
              <w:t>Cash Flow</w:t>
            </w:r>
          </w:p>
        </w:tc>
        <w:tc>
          <w:tcPr>
            <w:tcW w:w="493" w:type="pct"/>
          </w:tcPr>
          <w:p w14:paraId="5328F9D5" w14:textId="314B4B2E" w:rsidR="00425BA9" w:rsidRDefault="00995D31" w:rsidP="007D0BE0">
            <w:pPr>
              <w:pStyle w:val="TableBodyText"/>
              <w:spacing w:before="30" w:after="30"/>
              <w:jc w:val="right"/>
            </w:pPr>
            <w:r>
              <w:t>N/A</w:t>
            </w:r>
          </w:p>
        </w:tc>
        <w:tc>
          <w:tcPr>
            <w:tcW w:w="493" w:type="pct"/>
          </w:tcPr>
          <w:p w14:paraId="66053C50" w14:textId="1F0A5B61" w:rsidR="00425BA9" w:rsidRDefault="00995D31" w:rsidP="007D0BE0">
            <w:pPr>
              <w:pStyle w:val="TableBodyText"/>
              <w:spacing w:before="30" w:after="30"/>
              <w:jc w:val="right"/>
            </w:pPr>
            <w:r>
              <w:t>N/A</w:t>
            </w:r>
          </w:p>
        </w:tc>
        <w:tc>
          <w:tcPr>
            <w:tcW w:w="493" w:type="pct"/>
          </w:tcPr>
          <w:p w14:paraId="71E7C464" w14:textId="6B7B982A" w:rsidR="00425BA9" w:rsidRDefault="00995D31" w:rsidP="007D0BE0">
            <w:pPr>
              <w:pStyle w:val="TableBodyText"/>
              <w:spacing w:before="30" w:after="30"/>
              <w:jc w:val="right"/>
            </w:pPr>
            <w:r>
              <w:t>N/A</w:t>
            </w:r>
          </w:p>
        </w:tc>
        <w:tc>
          <w:tcPr>
            <w:tcW w:w="494" w:type="pct"/>
          </w:tcPr>
          <w:p w14:paraId="63662FC8" w14:textId="554C483D" w:rsidR="00425BA9" w:rsidRDefault="00995D31" w:rsidP="007D0BE0">
            <w:pPr>
              <w:pStyle w:val="TableBodyText"/>
              <w:spacing w:before="30" w:after="30"/>
              <w:jc w:val="right"/>
            </w:pPr>
            <w:r>
              <w:t>N/A</w:t>
            </w:r>
          </w:p>
        </w:tc>
        <w:tc>
          <w:tcPr>
            <w:tcW w:w="493" w:type="pct"/>
          </w:tcPr>
          <w:p w14:paraId="6243E472" w14:textId="3B067A6D" w:rsidR="00425BA9" w:rsidRDefault="00995D31" w:rsidP="007D0BE0">
            <w:pPr>
              <w:pStyle w:val="TableBodyText"/>
              <w:spacing w:before="30" w:after="30"/>
              <w:jc w:val="right"/>
            </w:pPr>
            <w:r>
              <w:t>N/A</w:t>
            </w:r>
          </w:p>
        </w:tc>
        <w:tc>
          <w:tcPr>
            <w:tcW w:w="493" w:type="pct"/>
          </w:tcPr>
          <w:p w14:paraId="619FCC9E" w14:textId="702433FF" w:rsidR="00425BA9" w:rsidRDefault="00995D31" w:rsidP="007D0BE0">
            <w:pPr>
              <w:pStyle w:val="TableBodyText"/>
              <w:spacing w:before="30" w:after="30"/>
              <w:jc w:val="right"/>
            </w:pPr>
            <w:r>
              <w:t>N/A</w:t>
            </w:r>
          </w:p>
        </w:tc>
        <w:tc>
          <w:tcPr>
            <w:tcW w:w="494" w:type="pct"/>
          </w:tcPr>
          <w:p w14:paraId="4A79B61E" w14:textId="653E7F10" w:rsidR="00425BA9" w:rsidRDefault="00995D31" w:rsidP="007D0BE0">
            <w:pPr>
              <w:pStyle w:val="TableBodyText"/>
              <w:spacing w:before="30" w:after="30"/>
              <w:jc w:val="right"/>
            </w:pPr>
            <w:r>
              <w:t>N/A</w:t>
            </w:r>
          </w:p>
        </w:tc>
      </w:tr>
      <w:tr w:rsidR="00425BA9" w:rsidRPr="00A25F2C" w14:paraId="4984DE94" w14:textId="77777777" w:rsidTr="00D83413">
        <w:tc>
          <w:tcPr>
            <w:tcW w:w="1547" w:type="pct"/>
          </w:tcPr>
          <w:p w14:paraId="44A4064F" w14:textId="53E2DCB0" w:rsidR="00425BA9" w:rsidRPr="00A25F2C" w:rsidRDefault="00425BA9" w:rsidP="007D0BE0">
            <w:pPr>
              <w:pStyle w:val="TableBodyText"/>
              <w:spacing w:before="30" w:after="30"/>
              <w:rPr>
                <w:b/>
              </w:rPr>
            </w:pPr>
            <w:r w:rsidRPr="00A25F2C">
              <w:t>Net Cash provided from Operating Activities</w:t>
            </w:r>
          </w:p>
        </w:tc>
        <w:tc>
          <w:tcPr>
            <w:tcW w:w="493" w:type="pct"/>
          </w:tcPr>
          <w:p w14:paraId="6392EE45" w14:textId="41391F55" w:rsidR="00425BA9" w:rsidRDefault="00425BA9" w:rsidP="007D0BE0">
            <w:pPr>
              <w:pStyle w:val="TableBodyText"/>
              <w:spacing w:before="30" w:after="30"/>
              <w:jc w:val="right"/>
            </w:pPr>
            <w:r w:rsidRPr="00A25F2C">
              <w:t>540.4</w:t>
            </w:r>
          </w:p>
        </w:tc>
        <w:tc>
          <w:tcPr>
            <w:tcW w:w="493" w:type="pct"/>
          </w:tcPr>
          <w:p w14:paraId="16CBCAA6" w14:textId="4773E016" w:rsidR="00425BA9" w:rsidRDefault="00425BA9" w:rsidP="007D0BE0">
            <w:pPr>
              <w:pStyle w:val="TableBodyText"/>
              <w:spacing w:before="30" w:after="30"/>
              <w:jc w:val="right"/>
            </w:pPr>
            <w:r w:rsidRPr="00A25F2C">
              <w:t>486.8</w:t>
            </w:r>
          </w:p>
        </w:tc>
        <w:tc>
          <w:tcPr>
            <w:tcW w:w="493" w:type="pct"/>
          </w:tcPr>
          <w:p w14:paraId="232A0644" w14:textId="43688E86" w:rsidR="00425BA9" w:rsidRDefault="00425BA9" w:rsidP="007D0BE0">
            <w:pPr>
              <w:pStyle w:val="TableBodyText"/>
              <w:spacing w:before="30" w:after="30"/>
              <w:jc w:val="right"/>
            </w:pPr>
            <w:r w:rsidRPr="00A25F2C">
              <w:t>535.5</w:t>
            </w:r>
          </w:p>
        </w:tc>
        <w:tc>
          <w:tcPr>
            <w:tcW w:w="494" w:type="pct"/>
          </w:tcPr>
          <w:p w14:paraId="1E3F2EE1" w14:textId="1D307F0D" w:rsidR="00425BA9" w:rsidRDefault="00425BA9" w:rsidP="007D0BE0">
            <w:pPr>
              <w:pStyle w:val="TableBodyText"/>
              <w:spacing w:before="30" w:after="30"/>
              <w:jc w:val="right"/>
            </w:pPr>
            <w:r w:rsidRPr="00A25F2C">
              <w:t>572.4</w:t>
            </w:r>
          </w:p>
        </w:tc>
        <w:tc>
          <w:tcPr>
            <w:tcW w:w="493" w:type="pct"/>
          </w:tcPr>
          <w:p w14:paraId="78F62ED9" w14:textId="6886DD6D" w:rsidR="00425BA9" w:rsidRDefault="00425BA9" w:rsidP="007D0BE0">
            <w:pPr>
              <w:pStyle w:val="TableBodyText"/>
              <w:spacing w:before="30" w:after="30"/>
              <w:jc w:val="right"/>
            </w:pPr>
            <w:r w:rsidRPr="00A25F2C">
              <w:t>652.2</w:t>
            </w:r>
          </w:p>
        </w:tc>
        <w:tc>
          <w:tcPr>
            <w:tcW w:w="493" w:type="pct"/>
          </w:tcPr>
          <w:p w14:paraId="1770351E" w14:textId="18E99849" w:rsidR="00425BA9" w:rsidRDefault="00425BA9" w:rsidP="007D0BE0">
            <w:pPr>
              <w:pStyle w:val="TableBodyText"/>
              <w:spacing w:before="30" w:after="30"/>
              <w:jc w:val="right"/>
            </w:pPr>
            <w:r w:rsidRPr="00A25F2C">
              <w:t>677.7</w:t>
            </w:r>
          </w:p>
        </w:tc>
        <w:tc>
          <w:tcPr>
            <w:tcW w:w="494" w:type="pct"/>
          </w:tcPr>
          <w:p w14:paraId="46B28428" w14:textId="5483DB65" w:rsidR="00425BA9" w:rsidRDefault="00425BA9" w:rsidP="007D0BE0">
            <w:pPr>
              <w:pStyle w:val="TableBodyText"/>
              <w:spacing w:before="30" w:after="30"/>
              <w:jc w:val="right"/>
            </w:pPr>
            <w:r w:rsidRPr="00A25F2C">
              <w:t>702.9</w:t>
            </w:r>
          </w:p>
        </w:tc>
      </w:tr>
      <w:tr w:rsidR="00425BA9" w:rsidRPr="00A25F2C" w14:paraId="46C5424E" w14:textId="77777777" w:rsidTr="00D83413">
        <w:tc>
          <w:tcPr>
            <w:tcW w:w="1547" w:type="pct"/>
          </w:tcPr>
          <w:p w14:paraId="6BBD5AC3" w14:textId="61849857" w:rsidR="00425BA9" w:rsidRPr="00A25F2C" w:rsidRDefault="00425BA9" w:rsidP="007D0BE0">
            <w:pPr>
              <w:pStyle w:val="TableBodyText"/>
              <w:spacing w:before="30" w:after="30"/>
              <w:rPr>
                <w:b/>
              </w:rPr>
            </w:pPr>
            <w:r w:rsidRPr="00A25F2C">
              <w:t>Net Cash used in Investing Activities</w:t>
            </w:r>
          </w:p>
        </w:tc>
        <w:tc>
          <w:tcPr>
            <w:tcW w:w="493" w:type="pct"/>
          </w:tcPr>
          <w:p w14:paraId="5A4FE053" w14:textId="36D53BF7" w:rsidR="00425BA9" w:rsidRDefault="00425BA9" w:rsidP="007D0BE0">
            <w:pPr>
              <w:pStyle w:val="TableBodyText"/>
              <w:spacing w:before="30" w:after="30"/>
              <w:jc w:val="right"/>
            </w:pPr>
            <w:r w:rsidRPr="00A25F2C">
              <w:t>(762.5)</w:t>
            </w:r>
          </w:p>
        </w:tc>
        <w:tc>
          <w:tcPr>
            <w:tcW w:w="493" w:type="pct"/>
          </w:tcPr>
          <w:p w14:paraId="455DC929" w14:textId="2D6A3DF6" w:rsidR="00425BA9" w:rsidRDefault="00425BA9" w:rsidP="007D0BE0">
            <w:pPr>
              <w:pStyle w:val="TableBodyText"/>
              <w:spacing w:before="30" w:after="30"/>
              <w:jc w:val="right"/>
            </w:pPr>
            <w:r w:rsidRPr="00A25F2C">
              <w:t>(858.7)</w:t>
            </w:r>
          </w:p>
        </w:tc>
        <w:tc>
          <w:tcPr>
            <w:tcW w:w="493" w:type="pct"/>
          </w:tcPr>
          <w:p w14:paraId="39FB1125" w14:textId="5FD7C7EE" w:rsidR="00425BA9" w:rsidRDefault="00425BA9" w:rsidP="007D0BE0">
            <w:pPr>
              <w:pStyle w:val="TableBodyText"/>
              <w:spacing w:before="30" w:after="30"/>
              <w:jc w:val="right"/>
            </w:pPr>
            <w:r w:rsidRPr="00A25F2C">
              <w:t>(1,149.0)</w:t>
            </w:r>
          </w:p>
        </w:tc>
        <w:tc>
          <w:tcPr>
            <w:tcW w:w="494" w:type="pct"/>
          </w:tcPr>
          <w:p w14:paraId="6FCD9DD1" w14:textId="741DCCD3" w:rsidR="00425BA9" w:rsidRDefault="00425BA9" w:rsidP="007D0BE0">
            <w:pPr>
              <w:pStyle w:val="TableBodyText"/>
              <w:spacing w:before="30" w:after="30"/>
              <w:jc w:val="right"/>
            </w:pPr>
            <w:r w:rsidRPr="00A25F2C">
              <w:t>(1,166.0)</w:t>
            </w:r>
          </w:p>
        </w:tc>
        <w:tc>
          <w:tcPr>
            <w:tcW w:w="493" w:type="pct"/>
          </w:tcPr>
          <w:p w14:paraId="3E2C51EA" w14:textId="3647B2EA" w:rsidR="00425BA9" w:rsidRDefault="00425BA9" w:rsidP="007D0BE0">
            <w:pPr>
              <w:pStyle w:val="TableBodyText"/>
              <w:spacing w:before="30" w:after="30"/>
              <w:jc w:val="right"/>
            </w:pPr>
            <w:r w:rsidRPr="00A25F2C">
              <w:t>(966.7)</w:t>
            </w:r>
          </w:p>
        </w:tc>
        <w:tc>
          <w:tcPr>
            <w:tcW w:w="493" w:type="pct"/>
          </w:tcPr>
          <w:p w14:paraId="454F4291" w14:textId="77A78303" w:rsidR="00425BA9" w:rsidRDefault="00425BA9" w:rsidP="007D0BE0">
            <w:pPr>
              <w:pStyle w:val="TableBodyText"/>
              <w:spacing w:before="30" w:after="30"/>
              <w:jc w:val="right"/>
            </w:pPr>
            <w:r w:rsidRPr="00A25F2C">
              <w:t>(1,484.9)</w:t>
            </w:r>
          </w:p>
        </w:tc>
        <w:tc>
          <w:tcPr>
            <w:tcW w:w="494" w:type="pct"/>
          </w:tcPr>
          <w:p w14:paraId="0CB9963C" w14:textId="7059F948" w:rsidR="00425BA9" w:rsidRDefault="00425BA9" w:rsidP="007D0BE0">
            <w:pPr>
              <w:pStyle w:val="TableBodyText"/>
              <w:spacing w:before="30" w:after="30"/>
              <w:jc w:val="right"/>
            </w:pPr>
            <w:r w:rsidRPr="00A25F2C">
              <w:t>(1,838.7)</w:t>
            </w:r>
          </w:p>
        </w:tc>
      </w:tr>
      <w:tr w:rsidR="00425BA9" w:rsidRPr="00A25F2C" w14:paraId="7823F534" w14:textId="77777777" w:rsidTr="00D83413">
        <w:tc>
          <w:tcPr>
            <w:tcW w:w="1547" w:type="pct"/>
          </w:tcPr>
          <w:p w14:paraId="65554480" w14:textId="46BD2E46" w:rsidR="00425BA9" w:rsidRPr="00A25F2C" w:rsidRDefault="00425BA9" w:rsidP="007D0BE0">
            <w:pPr>
              <w:pStyle w:val="TableBodyText"/>
              <w:spacing w:before="30" w:after="30"/>
              <w:rPr>
                <w:b/>
              </w:rPr>
            </w:pPr>
            <w:r w:rsidRPr="00A25F2C">
              <w:rPr>
                <w:b/>
              </w:rPr>
              <w:t>Free Cash Flow</w:t>
            </w:r>
          </w:p>
        </w:tc>
        <w:tc>
          <w:tcPr>
            <w:tcW w:w="493" w:type="pct"/>
          </w:tcPr>
          <w:p w14:paraId="1331C050" w14:textId="62A51BA7" w:rsidR="00425BA9" w:rsidRDefault="00425BA9" w:rsidP="007D0BE0">
            <w:pPr>
              <w:pStyle w:val="TableBodyText"/>
              <w:spacing w:before="30" w:after="30"/>
              <w:jc w:val="right"/>
            </w:pPr>
            <w:r w:rsidRPr="00A25F2C">
              <w:rPr>
                <w:b/>
              </w:rPr>
              <w:t>(240.9)</w:t>
            </w:r>
          </w:p>
        </w:tc>
        <w:tc>
          <w:tcPr>
            <w:tcW w:w="493" w:type="pct"/>
          </w:tcPr>
          <w:p w14:paraId="76AB806C" w14:textId="7322C8E8" w:rsidR="00425BA9" w:rsidRDefault="00425BA9" w:rsidP="007D0BE0">
            <w:pPr>
              <w:pStyle w:val="TableBodyText"/>
              <w:spacing w:before="30" w:after="30"/>
              <w:jc w:val="right"/>
            </w:pPr>
            <w:r w:rsidRPr="00A25F2C">
              <w:rPr>
                <w:b/>
              </w:rPr>
              <w:t>(393.5)</w:t>
            </w:r>
          </w:p>
        </w:tc>
        <w:tc>
          <w:tcPr>
            <w:tcW w:w="493" w:type="pct"/>
          </w:tcPr>
          <w:p w14:paraId="2C6A9464" w14:textId="1882540F" w:rsidR="00425BA9" w:rsidRDefault="00425BA9" w:rsidP="007D0BE0">
            <w:pPr>
              <w:pStyle w:val="TableBodyText"/>
              <w:spacing w:before="30" w:after="30"/>
              <w:jc w:val="right"/>
            </w:pPr>
            <w:r w:rsidRPr="00A25F2C">
              <w:rPr>
                <w:b/>
              </w:rPr>
              <w:t>(650.7)</w:t>
            </w:r>
          </w:p>
        </w:tc>
        <w:tc>
          <w:tcPr>
            <w:tcW w:w="494" w:type="pct"/>
          </w:tcPr>
          <w:p w14:paraId="0FCB7C33" w14:textId="5ADF8CF4" w:rsidR="00425BA9" w:rsidRDefault="00425BA9" w:rsidP="007D0BE0">
            <w:pPr>
              <w:pStyle w:val="TableBodyText"/>
              <w:spacing w:before="30" w:after="30"/>
              <w:jc w:val="right"/>
            </w:pPr>
            <w:r w:rsidRPr="00A25F2C">
              <w:rPr>
                <w:b/>
              </w:rPr>
              <w:t>(633.5)</w:t>
            </w:r>
          </w:p>
        </w:tc>
        <w:tc>
          <w:tcPr>
            <w:tcW w:w="493" w:type="pct"/>
          </w:tcPr>
          <w:p w14:paraId="0C686907" w14:textId="4D2F4DBF" w:rsidR="00425BA9" w:rsidRDefault="00425BA9" w:rsidP="007D0BE0">
            <w:pPr>
              <w:pStyle w:val="TableBodyText"/>
              <w:spacing w:before="30" w:after="30"/>
              <w:jc w:val="right"/>
            </w:pPr>
            <w:r w:rsidRPr="00A25F2C">
              <w:rPr>
                <w:b/>
              </w:rPr>
              <w:t>(334.4)</w:t>
            </w:r>
          </w:p>
        </w:tc>
        <w:tc>
          <w:tcPr>
            <w:tcW w:w="493" w:type="pct"/>
          </w:tcPr>
          <w:p w14:paraId="1C91E35F" w14:textId="2AC681D0" w:rsidR="00425BA9" w:rsidRDefault="00425BA9" w:rsidP="007D0BE0">
            <w:pPr>
              <w:pStyle w:val="TableBodyText"/>
              <w:spacing w:before="30" w:after="30"/>
              <w:jc w:val="right"/>
            </w:pPr>
            <w:r w:rsidRPr="00A25F2C">
              <w:rPr>
                <w:b/>
              </w:rPr>
              <w:t>(830.0)</w:t>
            </w:r>
          </w:p>
        </w:tc>
        <w:tc>
          <w:tcPr>
            <w:tcW w:w="494" w:type="pct"/>
          </w:tcPr>
          <w:p w14:paraId="23CC8556" w14:textId="1C6ED1D8" w:rsidR="00425BA9" w:rsidRDefault="00425BA9" w:rsidP="007D0BE0">
            <w:pPr>
              <w:pStyle w:val="TableBodyText"/>
              <w:spacing w:before="30" w:after="30"/>
              <w:jc w:val="right"/>
            </w:pPr>
            <w:r w:rsidRPr="00A25F2C">
              <w:rPr>
                <w:b/>
              </w:rPr>
              <w:t>(1,140.5)</w:t>
            </w:r>
          </w:p>
        </w:tc>
      </w:tr>
      <w:tr w:rsidR="00425BA9" w:rsidRPr="00A25F2C" w14:paraId="4916AC73" w14:textId="77777777" w:rsidTr="00D83413">
        <w:tc>
          <w:tcPr>
            <w:tcW w:w="1547" w:type="pct"/>
          </w:tcPr>
          <w:p w14:paraId="2CCED904" w14:textId="627517AB" w:rsidR="00425BA9" w:rsidRPr="00A25F2C" w:rsidRDefault="00425BA9" w:rsidP="007D0BE0">
            <w:pPr>
              <w:pStyle w:val="TableBodyText"/>
              <w:spacing w:before="30" w:after="30"/>
              <w:rPr>
                <w:b/>
              </w:rPr>
            </w:pPr>
            <w:r w:rsidRPr="00A25F2C">
              <w:t>Net Cash used in Financing Activities</w:t>
            </w:r>
          </w:p>
        </w:tc>
        <w:tc>
          <w:tcPr>
            <w:tcW w:w="493" w:type="pct"/>
          </w:tcPr>
          <w:p w14:paraId="16683DE1" w14:textId="4119F0E9" w:rsidR="00425BA9" w:rsidRDefault="00425BA9" w:rsidP="007D0BE0">
            <w:pPr>
              <w:pStyle w:val="TableBodyText"/>
              <w:spacing w:before="30" w:after="30"/>
              <w:jc w:val="right"/>
            </w:pPr>
            <w:r w:rsidRPr="00A25F2C">
              <w:t>216.2</w:t>
            </w:r>
          </w:p>
        </w:tc>
        <w:tc>
          <w:tcPr>
            <w:tcW w:w="493" w:type="pct"/>
          </w:tcPr>
          <w:p w14:paraId="381AA8E5" w14:textId="1B3BE2CE" w:rsidR="00425BA9" w:rsidRDefault="00425BA9" w:rsidP="007D0BE0">
            <w:pPr>
              <w:pStyle w:val="TableBodyText"/>
              <w:spacing w:before="30" w:after="30"/>
              <w:jc w:val="right"/>
            </w:pPr>
            <w:r w:rsidRPr="00A25F2C">
              <w:t>371.8</w:t>
            </w:r>
          </w:p>
        </w:tc>
        <w:tc>
          <w:tcPr>
            <w:tcW w:w="493" w:type="pct"/>
          </w:tcPr>
          <w:p w14:paraId="71CE2FF5" w14:textId="6378A93D" w:rsidR="00425BA9" w:rsidRDefault="00425BA9" w:rsidP="007D0BE0">
            <w:pPr>
              <w:pStyle w:val="TableBodyText"/>
              <w:spacing w:before="30" w:after="30"/>
              <w:jc w:val="right"/>
            </w:pPr>
            <w:r w:rsidRPr="00A25F2C">
              <w:t>613.4</w:t>
            </w:r>
          </w:p>
        </w:tc>
        <w:tc>
          <w:tcPr>
            <w:tcW w:w="494" w:type="pct"/>
          </w:tcPr>
          <w:p w14:paraId="0E12B0E2" w14:textId="2701700A" w:rsidR="00425BA9" w:rsidRDefault="00425BA9" w:rsidP="007D0BE0">
            <w:pPr>
              <w:pStyle w:val="TableBodyText"/>
              <w:spacing w:before="30" w:after="30"/>
              <w:jc w:val="right"/>
            </w:pPr>
            <w:r w:rsidRPr="00A25F2C">
              <w:t>593.8</w:t>
            </w:r>
          </w:p>
        </w:tc>
        <w:tc>
          <w:tcPr>
            <w:tcW w:w="493" w:type="pct"/>
          </w:tcPr>
          <w:p w14:paraId="7E1890B6" w14:textId="7D33F22A" w:rsidR="00425BA9" w:rsidRDefault="00425BA9" w:rsidP="007D0BE0">
            <w:pPr>
              <w:pStyle w:val="TableBodyText"/>
              <w:spacing w:before="30" w:after="30"/>
              <w:jc w:val="right"/>
            </w:pPr>
            <w:r w:rsidRPr="00A25F2C">
              <w:t>314.5</w:t>
            </w:r>
          </w:p>
        </w:tc>
        <w:tc>
          <w:tcPr>
            <w:tcW w:w="493" w:type="pct"/>
          </w:tcPr>
          <w:p w14:paraId="0F748251" w14:textId="4CDE40D9" w:rsidR="00425BA9" w:rsidRDefault="00425BA9" w:rsidP="007D0BE0">
            <w:pPr>
              <w:pStyle w:val="TableBodyText"/>
              <w:spacing w:before="30" w:after="30"/>
              <w:jc w:val="right"/>
            </w:pPr>
            <w:r w:rsidRPr="00A25F2C">
              <w:t>807.2</w:t>
            </w:r>
          </w:p>
        </w:tc>
        <w:tc>
          <w:tcPr>
            <w:tcW w:w="494" w:type="pct"/>
          </w:tcPr>
          <w:p w14:paraId="03B81BFF" w14:textId="056AADF6" w:rsidR="00425BA9" w:rsidRDefault="00425BA9" w:rsidP="007D0BE0">
            <w:pPr>
              <w:pStyle w:val="TableBodyText"/>
              <w:spacing w:before="30" w:after="30"/>
              <w:jc w:val="right"/>
            </w:pPr>
            <w:r w:rsidRPr="00A25F2C">
              <w:t>1,135.9</w:t>
            </w:r>
          </w:p>
        </w:tc>
      </w:tr>
      <w:tr w:rsidR="00425BA9" w:rsidRPr="00A25F2C" w14:paraId="02E86B13" w14:textId="77777777" w:rsidTr="00D83413">
        <w:tc>
          <w:tcPr>
            <w:tcW w:w="1547" w:type="pct"/>
          </w:tcPr>
          <w:p w14:paraId="725143B2" w14:textId="68A063C6" w:rsidR="00425BA9" w:rsidRPr="00A25F2C" w:rsidRDefault="00425BA9" w:rsidP="007D0BE0">
            <w:pPr>
              <w:pStyle w:val="TableBodyText"/>
              <w:spacing w:before="30" w:after="30"/>
              <w:rPr>
                <w:b/>
              </w:rPr>
            </w:pPr>
            <w:r w:rsidRPr="00A25F2C">
              <w:rPr>
                <w:b/>
              </w:rPr>
              <w:t>Cash to Government</w:t>
            </w:r>
          </w:p>
        </w:tc>
        <w:tc>
          <w:tcPr>
            <w:tcW w:w="493" w:type="pct"/>
          </w:tcPr>
          <w:p w14:paraId="329EEB11" w14:textId="6C207F9D" w:rsidR="00425BA9" w:rsidRDefault="00425BA9" w:rsidP="007D0BE0">
            <w:pPr>
              <w:pStyle w:val="TableBodyText"/>
              <w:spacing w:before="30" w:after="30"/>
              <w:jc w:val="right"/>
            </w:pPr>
            <w:r w:rsidRPr="00A25F2C">
              <w:rPr>
                <w:b/>
              </w:rPr>
              <w:t>200.5</w:t>
            </w:r>
          </w:p>
        </w:tc>
        <w:tc>
          <w:tcPr>
            <w:tcW w:w="493" w:type="pct"/>
          </w:tcPr>
          <w:p w14:paraId="15ACB821" w14:textId="35CC9E53" w:rsidR="00425BA9" w:rsidRDefault="00425BA9" w:rsidP="007D0BE0">
            <w:pPr>
              <w:pStyle w:val="TableBodyText"/>
              <w:spacing w:before="30" w:after="30"/>
              <w:jc w:val="right"/>
            </w:pPr>
            <w:r w:rsidRPr="00A25F2C">
              <w:rPr>
                <w:b/>
              </w:rPr>
              <w:t>181.6</w:t>
            </w:r>
          </w:p>
        </w:tc>
        <w:tc>
          <w:tcPr>
            <w:tcW w:w="493" w:type="pct"/>
          </w:tcPr>
          <w:p w14:paraId="1E20925F" w14:textId="05E2AC66" w:rsidR="00425BA9" w:rsidRDefault="00425BA9" w:rsidP="007D0BE0">
            <w:pPr>
              <w:pStyle w:val="TableBodyText"/>
              <w:spacing w:before="30" w:after="30"/>
              <w:jc w:val="right"/>
            </w:pPr>
            <w:r w:rsidRPr="00A25F2C">
              <w:rPr>
                <w:b/>
              </w:rPr>
              <w:t>208.4</w:t>
            </w:r>
          </w:p>
        </w:tc>
        <w:tc>
          <w:tcPr>
            <w:tcW w:w="494" w:type="pct"/>
          </w:tcPr>
          <w:p w14:paraId="629C0BD2" w14:textId="63FC7B27" w:rsidR="00425BA9" w:rsidRDefault="00425BA9" w:rsidP="007D0BE0">
            <w:pPr>
              <w:pStyle w:val="TableBodyText"/>
              <w:spacing w:before="30" w:after="30"/>
              <w:jc w:val="right"/>
            </w:pPr>
            <w:r w:rsidRPr="00A25F2C">
              <w:rPr>
                <w:b/>
              </w:rPr>
              <w:t>155.7</w:t>
            </w:r>
          </w:p>
        </w:tc>
        <w:tc>
          <w:tcPr>
            <w:tcW w:w="493" w:type="pct"/>
          </w:tcPr>
          <w:p w14:paraId="177E51CE" w14:textId="680D668D" w:rsidR="00425BA9" w:rsidRDefault="00425BA9" w:rsidP="007D0BE0">
            <w:pPr>
              <w:pStyle w:val="TableBodyText"/>
              <w:spacing w:before="30" w:after="30"/>
              <w:jc w:val="right"/>
            </w:pPr>
            <w:r w:rsidRPr="00A25F2C">
              <w:rPr>
                <w:b/>
              </w:rPr>
              <w:t>180.0</w:t>
            </w:r>
          </w:p>
        </w:tc>
        <w:tc>
          <w:tcPr>
            <w:tcW w:w="493" w:type="pct"/>
          </w:tcPr>
          <w:p w14:paraId="64150F7F" w14:textId="652411D4" w:rsidR="00425BA9" w:rsidRDefault="00425BA9" w:rsidP="007D0BE0">
            <w:pPr>
              <w:pStyle w:val="TableBodyText"/>
              <w:spacing w:before="30" w:after="30"/>
              <w:jc w:val="right"/>
            </w:pPr>
            <w:r w:rsidRPr="00A25F2C">
              <w:rPr>
                <w:b/>
              </w:rPr>
              <w:t>194.2</w:t>
            </w:r>
          </w:p>
        </w:tc>
        <w:tc>
          <w:tcPr>
            <w:tcW w:w="494" w:type="pct"/>
          </w:tcPr>
          <w:p w14:paraId="170055CE" w14:textId="33CCCD5B" w:rsidR="00425BA9" w:rsidRDefault="00425BA9" w:rsidP="007D0BE0">
            <w:pPr>
              <w:pStyle w:val="TableBodyText"/>
              <w:spacing w:before="30" w:after="30"/>
              <w:jc w:val="right"/>
            </w:pPr>
            <w:r w:rsidRPr="00A25F2C">
              <w:rPr>
                <w:b/>
              </w:rPr>
              <w:t>173.7</w:t>
            </w:r>
          </w:p>
        </w:tc>
      </w:tr>
      <w:tr w:rsidR="00425BA9" w:rsidRPr="00A25F2C" w14:paraId="135EAE9D" w14:textId="77777777" w:rsidTr="00D83413">
        <w:tc>
          <w:tcPr>
            <w:tcW w:w="1547" w:type="pct"/>
          </w:tcPr>
          <w:p w14:paraId="728C4A2F" w14:textId="2DBFE469" w:rsidR="00425BA9" w:rsidRPr="00A25F2C" w:rsidRDefault="00155A67" w:rsidP="007D0BE0">
            <w:pPr>
              <w:pStyle w:val="TableBodyText"/>
              <w:spacing w:before="30" w:after="30"/>
              <w:rPr>
                <w:b/>
              </w:rPr>
            </w:pPr>
            <w:r w:rsidRPr="00A25F2C">
              <w:rPr>
                <w:b/>
              </w:rPr>
              <w:t>Financial</w:t>
            </w:r>
            <w:r w:rsidR="00425BA9" w:rsidRPr="00A25F2C">
              <w:rPr>
                <w:b/>
              </w:rPr>
              <w:t xml:space="preserve"> KPIs</w:t>
            </w:r>
          </w:p>
        </w:tc>
        <w:tc>
          <w:tcPr>
            <w:tcW w:w="493" w:type="pct"/>
          </w:tcPr>
          <w:p w14:paraId="0B06E257" w14:textId="15ECD1B2" w:rsidR="00425BA9" w:rsidRPr="00A25F2C" w:rsidRDefault="00995D31" w:rsidP="007D0BE0">
            <w:pPr>
              <w:pStyle w:val="TableBodyText"/>
              <w:spacing w:before="30" w:after="30"/>
              <w:jc w:val="right"/>
              <w:rPr>
                <w:b/>
              </w:rPr>
            </w:pPr>
            <w:r>
              <w:t>N/A</w:t>
            </w:r>
          </w:p>
        </w:tc>
        <w:tc>
          <w:tcPr>
            <w:tcW w:w="493" w:type="pct"/>
          </w:tcPr>
          <w:p w14:paraId="2225E16C" w14:textId="4F7531E0" w:rsidR="00425BA9" w:rsidRPr="00A25F2C" w:rsidRDefault="00995D31" w:rsidP="007D0BE0">
            <w:pPr>
              <w:pStyle w:val="TableBodyText"/>
              <w:spacing w:before="30" w:after="30"/>
              <w:jc w:val="right"/>
              <w:rPr>
                <w:b/>
              </w:rPr>
            </w:pPr>
            <w:r>
              <w:t>N/A</w:t>
            </w:r>
          </w:p>
        </w:tc>
        <w:tc>
          <w:tcPr>
            <w:tcW w:w="493" w:type="pct"/>
          </w:tcPr>
          <w:p w14:paraId="2245C075" w14:textId="57043C24" w:rsidR="00425BA9" w:rsidRPr="00A25F2C" w:rsidRDefault="00995D31" w:rsidP="007D0BE0">
            <w:pPr>
              <w:pStyle w:val="TableBodyText"/>
              <w:spacing w:before="30" w:after="30"/>
              <w:jc w:val="right"/>
              <w:rPr>
                <w:b/>
              </w:rPr>
            </w:pPr>
            <w:r>
              <w:t>N/A</w:t>
            </w:r>
          </w:p>
        </w:tc>
        <w:tc>
          <w:tcPr>
            <w:tcW w:w="494" w:type="pct"/>
          </w:tcPr>
          <w:p w14:paraId="68F50245" w14:textId="5F192EB8" w:rsidR="00425BA9" w:rsidRPr="00A25F2C" w:rsidRDefault="00995D31" w:rsidP="007D0BE0">
            <w:pPr>
              <w:pStyle w:val="TableBodyText"/>
              <w:spacing w:before="30" w:after="30"/>
              <w:jc w:val="right"/>
              <w:rPr>
                <w:b/>
              </w:rPr>
            </w:pPr>
            <w:r>
              <w:t>N/A</w:t>
            </w:r>
          </w:p>
        </w:tc>
        <w:tc>
          <w:tcPr>
            <w:tcW w:w="493" w:type="pct"/>
          </w:tcPr>
          <w:p w14:paraId="1A6512FF" w14:textId="0F42A699" w:rsidR="00425BA9" w:rsidRPr="00A25F2C" w:rsidRDefault="00995D31" w:rsidP="007D0BE0">
            <w:pPr>
              <w:pStyle w:val="TableBodyText"/>
              <w:spacing w:before="30" w:after="30"/>
              <w:jc w:val="right"/>
              <w:rPr>
                <w:b/>
              </w:rPr>
            </w:pPr>
            <w:r>
              <w:t>N/A</w:t>
            </w:r>
          </w:p>
        </w:tc>
        <w:tc>
          <w:tcPr>
            <w:tcW w:w="493" w:type="pct"/>
          </w:tcPr>
          <w:p w14:paraId="329672C4" w14:textId="4DD3E113" w:rsidR="00425BA9" w:rsidRPr="00A25F2C" w:rsidRDefault="00995D31" w:rsidP="007D0BE0">
            <w:pPr>
              <w:pStyle w:val="TableBodyText"/>
              <w:spacing w:before="30" w:after="30"/>
              <w:jc w:val="right"/>
              <w:rPr>
                <w:b/>
              </w:rPr>
            </w:pPr>
            <w:r>
              <w:t>N/A</w:t>
            </w:r>
          </w:p>
        </w:tc>
        <w:tc>
          <w:tcPr>
            <w:tcW w:w="494" w:type="pct"/>
          </w:tcPr>
          <w:p w14:paraId="50BD9089" w14:textId="2B0C85D8" w:rsidR="00425BA9" w:rsidRPr="00A25F2C" w:rsidRDefault="00995D31" w:rsidP="007D0BE0">
            <w:pPr>
              <w:pStyle w:val="TableBodyText"/>
              <w:spacing w:before="30" w:after="30"/>
              <w:jc w:val="right"/>
              <w:rPr>
                <w:b/>
              </w:rPr>
            </w:pPr>
            <w:r>
              <w:t>N/A</w:t>
            </w:r>
          </w:p>
        </w:tc>
      </w:tr>
      <w:tr w:rsidR="00425BA9" w:rsidRPr="00A25F2C" w14:paraId="30A9B6D8" w14:textId="77777777" w:rsidTr="00D83413">
        <w:tc>
          <w:tcPr>
            <w:tcW w:w="1547" w:type="pct"/>
          </w:tcPr>
          <w:p w14:paraId="552BBAD5" w14:textId="57BD5F71" w:rsidR="00425BA9" w:rsidRPr="00A25F2C" w:rsidRDefault="00425BA9" w:rsidP="007D0BE0">
            <w:pPr>
              <w:pStyle w:val="TableBodyText"/>
              <w:spacing w:before="30" w:after="30"/>
              <w:rPr>
                <w:b/>
              </w:rPr>
            </w:pPr>
            <w:r w:rsidRPr="00A25F2C">
              <w:t>Interest Cover (Cash)</w:t>
            </w:r>
          </w:p>
        </w:tc>
        <w:tc>
          <w:tcPr>
            <w:tcW w:w="493" w:type="pct"/>
          </w:tcPr>
          <w:p w14:paraId="09AB4F94" w14:textId="170366DE" w:rsidR="00425BA9" w:rsidRPr="00A25F2C" w:rsidRDefault="00425BA9" w:rsidP="007D0BE0">
            <w:pPr>
              <w:pStyle w:val="TableBodyText"/>
              <w:spacing w:before="30" w:after="30"/>
              <w:jc w:val="right"/>
              <w:rPr>
                <w:b/>
              </w:rPr>
            </w:pPr>
            <w:r w:rsidRPr="00A25F2C">
              <w:t>2.2</w:t>
            </w:r>
          </w:p>
        </w:tc>
        <w:tc>
          <w:tcPr>
            <w:tcW w:w="493" w:type="pct"/>
          </w:tcPr>
          <w:p w14:paraId="0C189E36" w14:textId="788E0CF1" w:rsidR="00425BA9" w:rsidRPr="00A25F2C" w:rsidRDefault="00425BA9" w:rsidP="007D0BE0">
            <w:pPr>
              <w:pStyle w:val="TableBodyText"/>
              <w:spacing w:before="30" w:after="30"/>
              <w:jc w:val="right"/>
              <w:rPr>
                <w:b/>
              </w:rPr>
            </w:pPr>
            <w:r w:rsidRPr="00A25F2C">
              <w:t>2.1</w:t>
            </w:r>
          </w:p>
        </w:tc>
        <w:tc>
          <w:tcPr>
            <w:tcW w:w="493" w:type="pct"/>
          </w:tcPr>
          <w:p w14:paraId="277A2EFF" w14:textId="7C935F86" w:rsidR="00425BA9" w:rsidRPr="00A25F2C" w:rsidRDefault="00425BA9" w:rsidP="007D0BE0">
            <w:pPr>
              <w:pStyle w:val="TableBodyText"/>
              <w:spacing w:before="30" w:after="30"/>
              <w:jc w:val="right"/>
              <w:rPr>
                <w:b/>
              </w:rPr>
            </w:pPr>
            <w:r w:rsidRPr="00A25F2C">
              <w:t>2.2</w:t>
            </w:r>
          </w:p>
        </w:tc>
        <w:tc>
          <w:tcPr>
            <w:tcW w:w="494" w:type="pct"/>
          </w:tcPr>
          <w:p w14:paraId="1569BB04" w14:textId="3CC4A020" w:rsidR="00425BA9" w:rsidRPr="00A25F2C" w:rsidRDefault="00425BA9" w:rsidP="007D0BE0">
            <w:pPr>
              <w:pStyle w:val="TableBodyText"/>
              <w:spacing w:before="30" w:after="30"/>
              <w:jc w:val="right"/>
              <w:rPr>
                <w:b/>
              </w:rPr>
            </w:pPr>
            <w:r w:rsidRPr="00A25F2C">
              <w:t>2.1</w:t>
            </w:r>
          </w:p>
        </w:tc>
        <w:tc>
          <w:tcPr>
            <w:tcW w:w="493" w:type="pct"/>
          </w:tcPr>
          <w:p w14:paraId="14383BC8" w14:textId="5E3FBC9F" w:rsidR="00425BA9" w:rsidRPr="00A25F2C" w:rsidRDefault="00425BA9" w:rsidP="007D0BE0">
            <w:pPr>
              <w:pStyle w:val="TableBodyText"/>
              <w:spacing w:before="30" w:after="30"/>
              <w:jc w:val="right"/>
              <w:rPr>
                <w:b/>
              </w:rPr>
            </w:pPr>
            <w:r w:rsidRPr="00A25F2C">
              <w:t>2.2</w:t>
            </w:r>
          </w:p>
        </w:tc>
        <w:tc>
          <w:tcPr>
            <w:tcW w:w="493" w:type="pct"/>
          </w:tcPr>
          <w:p w14:paraId="4C5A2B64" w14:textId="4E34072A" w:rsidR="00425BA9" w:rsidRPr="00A25F2C" w:rsidRDefault="00425BA9" w:rsidP="007D0BE0">
            <w:pPr>
              <w:pStyle w:val="TableBodyText"/>
              <w:spacing w:before="30" w:after="30"/>
              <w:jc w:val="right"/>
              <w:rPr>
                <w:b/>
              </w:rPr>
            </w:pPr>
            <w:r w:rsidRPr="00A25F2C">
              <w:t>2.2</w:t>
            </w:r>
          </w:p>
        </w:tc>
        <w:tc>
          <w:tcPr>
            <w:tcW w:w="494" w:type="pct"/>
          </w:tcPr>
          <w:p w14:paraId="3A3F7CF6" w14:textId="3D03A336" w:rsidR="00425BA9" w:rsidRPr="00A25F2C" w:rsidRDefault="00425BA9" w:rsidP="007D0BE0">
            <w:pPr>
              <w:pStyle w:val="TableBodyText"/>
              <w:spacing w:before="30" w:after="30"/>
              <w:jc w:val="right"/>
              <w:rPr>
                <w:b/>
              </w:rPr>
            </w:pPr>
            <w:r w:rsidRPr="00A25F2C">
              <w:t>2.1</w:t>
            </w:r>
          </w:p>
        </w:tc>
      </w:tr>
      <w:tr w:rsidR="00425BA9" w:rsidRPr="00A25F2C" w14:paraId="50E9BFB6" w14:textId="77777777" w:rsidTr="00D83413">
        <w:tc>
          <w:tcPr>
            <w:tcW w:w="1547" w:type="pct"/>
          </w:tcPr>
          <w:p w14:paraId="00AC9619" w14:textId="4F9916FF" w:rsidR="00425BA9" w:rsidRPr="00A25F2C" w:rsidRDefault="00425BA9" w:rsidP="007D0BE0">
            <w:pPr>
              <w:pStyle w:val="TableBodyText"/>
              <w:spacing w:before="30" w:after="30"/>
              <w:rPr>
                <w:b/>
              </w:rPr>
            </w:pPr>
            <w:r w:rsidRPr="00A25F2C">
              <w:t>Gearing Ratio (Debt to Assets)</w:t>
            </w:r>
          </w:p>
        </w:tc>
        <w:tc>
          <w:tcPr>
            <w:tcW w:w="493" w:type="pct"/>
          </w:tcPr>
          <w:p w14:paraId="7806EC95" w14:textId="3F14204F" w:rsidR="00425BA9" w:rsidRPr="00A25F2C" w:rsidRDefault="00425BA9" w:rsidP="007D0BE0">
            <w:pPr>
              <w:pStyle w:val="TableBodyText"/>
              <w:spacing w:before="30" w:after="30"/>
              <w:jc w:val="right"/>
              <w:rPr>
                <w:b/>
              </w:rPr>
            </w:pPr>
            <w:r w:rsidRPr="00A25F2C">
              <w:t>47.8%</w:t>
            </w:r>
          </w:p>
        </w:tc>
        <w:tc>
          <w:tcPr>
            <w:tcW w:w="493" w:type="pct"/>
          </w:tcPr>
          <w:p w14:paraId="3CAF167A" w14:textId="02285137" w:rsidR="00425BA9" w:rsidRPr="00A25F2C" w:rsidRDefault="00425BA9" w:rsidP="007D0BE0">
            <w:pPr>
              <w:pStyle w:val="TableBodyText"/>
              <w:spacing w:before="30" w:after="30"/>
              <w:jc w:val="right"/>
              <w:rPr>
                <w:b/>
              </w:rPr>
            </w:pPr>
            <w:r w:rsidRPr="00A25F2C">
              <w:t>50.0%</w:t>
            </w:r>
          </w:p>
        </w:tc>
        <w:tc>
          <w:tcPr>
            <w:tcW w:w="493" w:type="pct"/>
          </w:tcPr>
          <w:p w14:paraId="23FE1F90" w14:textId="5FC06EA4" w:rsidR="00425BA9" w:rsidRPr="00A25F2C" w:rsidRDefault="00425BA9" w:rsidP="007D0BE0">
            <w:pPr>
              <w:pStyle w:val="TableBodyText"/>
              <w:spacing w:before="30" w:after="30"/>
              <w:jc w:val="right"/>
              <w:rPr>
                <w:b/>
              </w:rPr>
            </w:pPr>
            <w:r w:rsidRPr="00A25F2C">
              <w:t>49.7%</w:t>
            </w:r>
          </w:p>
        </w:tc>
        <w:tc>
          <w:tcPr>
            <w:tcW w:w="494" w:type="pct"/>
          </w:tcPr>
          <w:p w14:paraId="670D9799" w14:textId="7461643E" w:rsidR="00425BA9" w:rsidRPr="00A25F2C" w:rsidRDefault="00425BA9" w:rsidP="007D0BE0">
            <w:pPr>
              <w:pStyle w:val="TableBodyText"/>
              <w:spacing w:before="30" w:after="30"/>
              <w:jc w:val="right"/>
              <w:rPr>
                <w:b/>
              </w:rPr>
            </w:pPr>
            <w:r w:rsidRPr="00A25F2C">
              <w:t>51.2%</w:t>
            </w:r>
          </w:p>
        </w:tc>
        <w:tc>
          <w:tcPr>
            <w:tcW w:w="493" w:type="pct"/>
          </w:tcPr>
          <w:p w14:paraId="0F7DC2F1" w14:textId="574F871F" w:rsidR="00425BA9" w:rsidRPr="00A25F2C" w:rsidRDefault="00425BA9" w:rsidP="007D0BE0">
            <w:pPr>
              <w:pStyle w:val="TableBodyText"/>
              <w:spacing w:before="30" w:after="30"/>
              <w:jc w:val="right"/>
              <w:rPr>
                <w:b/>
              </w:rPr>
            </w:pPr>
            <w:r w:rsidRPr="00A25F2C">
              <w:t>51.8%</w:t>
            </w:r>
          </w:p>
        </w:tc>
        <w:tc>
          <w:tcPr>
            <w:tcW w:w="493" w:type="pct"/>
          </w:tcPr>
          <w:p w14:paraId="66AC62C7" w14:textId="20FF9FFB" w:rsidR="00425BA9" w:rsidRPr="00A25F2C" w:rsidRDefault="00425BA9" w:rsidP="007D0BE0">
            <w:pPr>
              <w:pStyle w:val="TableBodyText"/>
              <w:spacing w:before="30" w:after="30"/>
              <w:jc w:val="right"/>
              <w:rPr>
                <w:b/>
              </w:rPr>
            </w:pPr>
            <w:r w:rsidRPr="00A25F2C">
              <w:t>53.5%</w:t>
            </w:r>
          </w:p>
        </w:tc>
        <w:tc>
          <w:tcPr>
            <w:tcW w:w="494" w:type="pct"/>
          </w:tcPr>
          <w:p w14:paraId="7E565437" w14:textId="09A9335C" w:rsidR="00425BA9" w:rsidRPr="00A25F2C" w:rsidRDefault="00425BA9" w:rsidP="007D0BE0">
            <w:pPr>
              <w:pStyle w:val="TableBodyText"/>
              <w:spacing w:before="30" w:after="30"/>
              <w:jc w:val="right"/>
              <w:rPr>
                <w:b/>
              </w:rPr>
            </w:pPr>
            <w:r w:rsidRPr="00A25F2C">
              <w:t>55.8%</w:t>
            </w:r>
          </w:p>
        </w:tc>
      </w:tr>
      <w:tr w:rsidR="00425BA9" w:rsidRPr="00A25F2C" w14:paraId="11913227" w14:textId="77777777" w:rsidTr="00D83413">
        <w:tc>
          <w:tcPr>
            <w:tcW w:w="1547" w:type="pct"/>
          </w:tcPr>
          <w:p w14:paraId="7F377D87" w14:textId="3B23F55D" w:rsidR="00425BA9" w:rsidRPr="00A25F2C" w:rsidRDefault="00425BA9" w:rsidP="007D0BE0">
            <w:pPr>
              <w:pStyle w:val="TableBodyText"/>
              <w:spacing w:before="30" w:after="30"/>
              <w:rPr>
                <w:b/>
              </w:rPr>
            </w:pPr>
            <w:r w:rsidRPr="00A25F2C">
              <w:t>Internal Financing Ratio</w:t>
            </w:r>
          </w:p>
        </w:tc>
        <w:tc>
          <w:tcPr>
            <w:tcW w:w="493" w:type="pct"/>
          </w:tcPr>
          <w:p w14:paraId="0ED7ACDE" w14:textId="6D88B950" w:rsidR="00425BA9" w:rsidRPr="00A25F2C" w:rsidRDefault="00425BA9" w:rsidP="007D0BE0">
            <w:pPr>
              <w:pStyle w:val="TableBodyText"/>
              <w:spacing w:before="30" w:after="30"/>
              <w:jc w:val="right"/>
              <w:rPr>
                <w:b/>
              </w:rPr>
            </w:pPr>
            <w:r w:rsidRPr="00A25F2C">
              <w:t>67.6%</w:t>
            </w:r>
          </w:p>
        </w:tc>
        <w:tc>
          <w:tcPr>
            <w:tcW w:w="493" w:type="pct"/>
          </w:tcPr>
          <w:p w14:paraId="030F67D7" w14:textId="313A2BAC" w:rsidR="00425BA9" w:rsidRPr="00A25F2C" w:rsidRDefault="00425BA9" w:rsidP="007D0BE0">
            <w:pPr>
              <w:pStyle w:val="TableBodyText"/>
              <w:spacing w:before="30" w:after="30"/>
              <w:jc w:val="right"/>
              <w:rPr>
                <w:b/>
              </w:rPr>
            </w:pPr>
            <w:r w:rsidRPr="00A25F2C">
              <w:t>55.3%</w:t>
            </w:r>
          </w:p>
        </w:tc>
        <w:tc>
          <w:tcPr>
            <w:tcW w:w="493" w:type="pct"/>
          </w:tcPr>
          <w:p w14:paraId="010F5683" w14:textId="1FAA37D5" w:rsidR="00425BA9" w:rsidRPr="00A25F2C" w:rsidRDefault="00425BA9" w:rsidP="007D0BE0">
            <w:pPr>
              <w:pStyle w:val="TableBodyText"/>
              <w:spacing w:before="30" w:after="30"/>
              <w:jc w:val="right"/>
              <w:rPr>
                <w:b/>
              </w:rPr>
            </w:pPr>
            <w:r w:rsidRPr="00A25F2C">
              <w:t>44.5%</w:t>
            </w:r>
          </w:p>
        </w:tc>
        <w:tc>
          <w:tcPr>
            <w:tcW w:w="494" w:type="pct"/>
          </w:tcPr>
          <w:p w14:paraId="447683EF" w14:textId="602CB1C1" w:rsidR="00425BA9" w:rsidRPr="00A25F2C" w:rsidRDefault="00425BA9" w:rsidP="007D0BE0">
            <w:pPr>
              <w:pStyle w:val="TableBodyText"/>
              <w:spacing w:before="30" w:after="30"/>
              <w:jc w:val="right"/>
              <w:rPr>
                <w:b/>
              </w:rPr>
            </w:pPr>
            <w:r w:rsidRPr="00A25F2C">
              <w:t>46.5%</w:t>
            </w:r>
          </w:p>
        </w:tc>
        <w:tc>
          <w:tcPr>
            <w:tcW w:w="493" w:type="pct"/>
          </w:tcPr>
          <w:p w14:paraId="11B035F9" w14:textId="2DAC2EFA" w:rsidR="00425BA9" w:rsidRPr="00A25F2C" w:rsidRDefault="00425BA9" w:rsidP="007D0BE0">
            <w:pPr>
              <w:pStyle w:val="TableBodyText"/>
              <w:spacing w:before="30" w:after="30"/>
              <w:jc w:val="right"/>
              <w:rPr>
                <w:b/>
              </w:rPr>
            </w:pPr>
            <w:r w:rsidRPr="00A25F2C">
              <w:t>64.3%</w:t>
            </w:r>
          </w:p>
        </w:tc>
        <w:tc>
          <w:tcPr>
            <w:tcW w:w="493" w:type="pct"/>
          </w:tcPr>
          <w:p w14:paraId="30134323" w14:textId="4192FBF2" w:rsidR="00425BA9" w:rsidRPr="00A25F2C" w:rsidRDefault="00425BA9" w:rsidP="007D0BE0">
            <w:pPr>
              <w:pStyle w:val="TableBodyText"/>
              <w:spacing w:before="30" w:after="30"/>
              <w:jc w:val="right"/>
              <w:rPr>
                <w:b/>
              </w:rPr>
            </w:pPr>
            <w:r w:rsidRPr="00A25F2C">
              <w:t>42.6%</w:t>
            </w:r>
          </w:p>
        </w:tc>
        <w:tc>
          <w:tcPr>
            <w:tcW w:w="494" w:type="pct"/>
          </w:tcPr>
          <w:p w14:paraId="6E035999" w14:textId="3ED8458F" w:rsidR="00425BA9" w:rsidRPr="00A25F2C" w:rsidRDefault="00425BA9" w:rsidP="007D0BE0">
            <w:pPr>
              <w:pStyle w:val="TableBodyText"/>
              <w:spacing w:before="30" w:after="30"/>
              <w:jc w:val="right"/>
              <w:rPr>
                <w:b/>
              </w:rPr>
            </w:pPr>
            <w:r w:rsidRPr="00A25F2C">
              <w:t>36.5%</w:t>
            </w:r>
          </w:p>
        </w:tc>
      </w:tr>
      <w:tr w:rsidR="00425BA9" w:rsidRPr="00A25F2C" w14:paraId="6B89E9F7" w14:textId="77777777" w:rsidTr="00D83413">
        <w:tc>
          <w:tcPr>
            <w:tcW w:w="1547" w:type="pct"/>
          </w:tcPr>
          <w:p w14:paraId="6E8489DF" w14:textId="09F16634" w:rsidR="00425BA9" w:rsidRPr="00A25F2C" w:rsidRDefault="00425BA9" w:rsidP="007D0BE0">
            <w:pPr>
              <w:pStyle w:val="TableBodyText"/>
              <w:spacing w:before="30" w:after="30"/>
              <w:rPr>
                <w:b/>
              </w:rPr>
            </w:pPr>
            <w:r w:rsidRPr="00A25F2C">
              <w:t>Current Ratio</w:t>
            </w:r>
          </w:p>
        </w:tc>
        <w:tc>
          <w:tcPr>
            <w:tcW w:w="493" w:type="pct"/>
          </w:tcPr>
          <w:p w14:paraId="6DAA27BF" w14:textId="0CEA97E9" w:rsidR="00425BA9" w:rsidRPr="00A25F2C" w:rsidRDefault="00425BA9" w:rsidP="007D0BE0">
            <w:pPr>
              <w:pStyle w:val="TableBodyText"/>
              <w:spacing w:before="30" w:after="30"/>
              <w:jc w:val="right"/>
              <w:rPr>
                <w:b/>
              </w:rPr>
            </w:pPr>
            <w:r w:rsidRPr="00A25F2C">
              <w:t>0.11</w:t>
            </w:r>
          </w:p>
        </w:tc>
        <w:tc>
          <w:tcPr>
            <w:tcW w:w="493" w:type="pct"/>
          </w:tcPr>
          <w:p w14:paraId="33C3AE6B" w14:textId="1ED26FE8" w:rsidR="00425BA9" w:rsidRPr="00A25F2C" w:rsidRDefault="00425BA9" w:rsidP="007D0BE0">
            <w:pPr>
              <w:pStyle w:val="TableBodyText"/>
              <w:spacing w:before="30" w:after="30"/>
              <w:jc w:val="right"/>
              <w:rPr>
                <w:b/>
              </w:rPr>
            </w:pPr>
            <w:r w:rsidRPr="00A25F2C">
              <w:t>0.14</w:t>
            </w:r>
          </w:p>
        </w:tc>
        <w:tc>
          <w:tcPr>
            <w:tcW w:w="493" w:type="pct"/>
          </w:tcPr>
          <w:p w14:paraId="7507053A" w14:textId="0A1BDBD8" w:rsidR="00425BA9" w:rsidRPr="00A25F2C" w:rsidRDefault="00425BA9" w:rsidP="007D0BE0">
            <w:pPr>
              <w:pStyle w:val="TableBodyText"/>
              <w:spacing w:before="30" w:after="30"/>
              <w:jc w:val="right"/>
              <w:rPr>
                <w:b/>
              </w:rPr>
            </w:pPr>
            <w:r w:rsidRPr="00A25F2C">
              <w:t>0.11</w:t>
            </w:r>
          </w:p>
        </w:tc>
        <w:tc>
          <w:tcPr>
            <w:tcW w:w="494" w:type="pct"/>
          </w:tcPr>
          <w:p w14:paraId="2960716A" w14:textId="69CDA8A9" w:rsidR="00425BA9" w:rsidRPr="00A25F2C" w:rsidRDefault="00425BA9" w:rsidP="007D0BE0">
            <w:pPr>
              <w:pStyle w:val="TableBodyText"/>
              <w:spacing w:before="30" w:after="30"/>
              <w:jc w:val="right"/>
              <w:rPr>
                <w:b/>
              </w:rPr>
            </w:pPr>
            <w:r w:rsidRPr="00A25F2C">
              <w:t>0.11</w:t>
            </w:r>
          </w:p>
        </w:tc>
        <w:tc>
          <w:tcPr>
            <w:tcW w:w="493" w:type="pct"/>
          </w:tcPr>
          <w:p w14:paraId="73EBC659" w14:textId="11CC4845" w:rsidR="00425BA9" w:rsidRPr="00A25F2C" w:rsidRDefault="00425BA9" w:rsidP="007D0BE0">
            <w:pPr>
              <w:pStyle w:val="TableBodyText"/>
              <w:spacing w:before="30" w:after="30"/>
              <w:jc w:val="right"/>
              <w:rPr>
                <w:b/>
              </w:rPr>
            </w:pPr>
            <w:r w:rsidRPr="00A25F2C">
              <w:t>0.11</w:t>
            </w:r>
          </w:p>
        </w:tc>
        <w:tc>
          <w:tcPr>
            <w:tcW w:w="493" w:type="pct"/>
          </w:tcPr>
          <w:p w14:paraId="3725322E" w14:textId="64FD2F9E" w:rsidR="00425BA9" w:rsidRPr="00A25F2C" w:rsidRDefault="00425BA9" w:rsidP="007D0BE0">
            <w:pPr>
              <w:pStyle w:val="TableBodyText"/>
              <w:spacing w:before="30" w:after="30"/>
              <w:jc w:val="right"/>
              <w:rPr>
                <w:b/>
              </w:rPr>
            </w:pPr>
            <w:r w:rsidRPr="00A25F2C">
              <w:t>0.11</w:t>
            </w:r>
          </w:p>
        </w:tc>
        <w:tc>
          <w:tcPr>
            <w:tcW w:w="494" w:type="pct"/>
          </w:tcPr>
          <w:p w14:paraId="2902CD47" w14:textId="6018B536" w:rsidR="00425BA9" w:rsidRPr="00A25F2C" w:rsidRDefault="00425BA9" w:rsidP="007D0BE0">
            <w:pPr>
              <w:pStyle w:val="TableBodyText"/>
              <w:spacing w:before="30" w:after="30"/>
              <w:jc w:val="right"/>
              <w:rPr>
                <w:b/>
              </w:rPr>
            </w:pPr>
            <w:r w:rsidRPr="00A25F2C">
              <w:t>0.10</w:t>
            </w:r>
          </w:p>
        </w:tc>
      </w:tr>
      <w:tr w:rsidR="00425BA9" w:rsidRPr="00A25F2C" w14:paraId="317F2054" w14:textId="77777777" w:rsidTr="00D83413">
        <w:tc>
          <w:tcPr>
            <w:tcW w:w="1547" w:type="pct"/>
          </w:tcPr>
          <w:p w14:paraId="547859D0" w14:textId="2EECB947" w:rsidR="00425BA9" w:rsidRPr="00A25F2C" w:rsidRDefault="00425BA9" w:rsidP="007D0BE0">
            <w:pPr>
              <w:pStyle w:val="TableBodyText"/>
              <w:spacing w:before="30" w:after="30"/>
              <w:rPr>
                <w:b/>
              </w:rPr>
            </w:pPr>
            <w:r w:rsidRPr="00A25F2C">
              <w:t>Return on Assets</w:t>
            </w:r>
          </w:p>
        </w:tc>
        <w:tc>
          <w:tcPr>
            <w:tcW w:w="493" w:type="pct"/>
          </w:tcPr>
          <w:p w14:paraId="281A59BB" w14:textId="4A8C9868" w:rsidR="00425BA9" w:rsidRPr="00A25F2C" w:rsidRDefault="00425BA9" w:rsidP="007D0BE0">
            <w:pPr>
              <w:pStyle w:val="TableBodyText"/>
              <w:spacing w:before="30" w:after="30"/>
              <w:jc w:val="right"/>
              <w:rPr>
                <w:b/>
              </w:rPr>
            </w:pPr>
            <w:r w:rsidRPr="00A25F2C">
              <w:t>4.3%</w:t>
            </w:r>
          </w:p>
        </w:tc>
        <w:tc>
          <w:tcPr>
            <w:tcW w:w="493" w:type="pct"/>
          </w:tcPr>
          <w:p w14:paraId="15F11442" w14:textId="0EBFAFCA" w:rsidR="00425BA9" w:rsidRPr="00A25F2C" w:rsidRDefault="00425BA9" w:rsidP="007D0BE0">
            <w:pPr>
              <w:pStyle w:val="TableBodyText"/>
              <w:spacing w:before="30" w:after="30"/>
              <w:jc w:val="right"/>
              <w:rPr>
                <w:b/>
              </w:rPr>
            </w:pPr>
            <w:r w:rsidRPr="00A25F2C">
              <w:t>4.3%</w:t>
            </w:r>
          </w:p>
        </w:tc>
        <w:tc>
          <w:tcPr>
            <w:tcW w:w="493" w:type="pct"/>
          </w:tcPr>
          <w:p w14:paraId="5CA2D9BA" w14:textId="6AC7A256" w:rsidR="00425BA9" w:rsidRPr="00A25F2C" w:rsidRDefault="00425BA9" w:rsidP="007D0BE0">
            <w:pPr>
              <w:pStyle w:val="TableBodyText"/>
              <w:spacing w:before="30" w:after="30"/>
              <w:jc w:val="right"/>
              <w:rPr>
                <w:b/>
              </w:rPr>
            </w:pPr>
            <w:r w:rsidRPr="00A25F2C">
              <w:t>4.6%</w:t>
            </w:r>
          </w:p>
        </w:tc>
        <w:tc>
          <w:tcPr>
            <w:tcW w:w="494" w:type="pct"/>
          </w:tcPr>
          <w:p w14:paraId="6E87A5C9" w14:textId="07ABA1CD" w:rsidR="00425BA9" w:rsidRPr="00A25F2C" w:rsidRDefault="00425BA9" w:rsidP="007D0BE0">
            <w:pPr>
              <w:pStyle w:val="TableBodyText"/>
              <w:spacing w:before="30" w:after="30"/>
              <w:jc w:val="right"/>
              <w:rPr>
                <w:b/>
              </w:rPr>
            </w:pPr>
            <w:r w:rsidRPr="00A25F2C">
              <w:t>4.3%</w:t>
            </w:r>
          </w:p>
        </w:tc>
        <w:tc>
          <w:tcPr>
            <w:tcW w:w="493" w:type="pct"/>
          </w:tcPr>
          <w:p w14:paraId="64EFFB77" w14:textId="5E6ADFF5" w:rsidR="00425BA9" w:rsidRPr="00A25F2C" w:rsidRDefault="00425BA9" w:rsidP="007D0BE0">
            <w:pPr>
              <w:pStyle w:val="TableBodyText"/>
              <w:spacing w:before="30" w:after="30"/>
              <w:jc w:val="right"/>
              <w:rPr>
                <w:b/>
              </w:rPr>
            </w:pPr>
            <w:r w:rsidRPr="00A25F2C">
              <w:t>4.7%</w:t>
            </w:r>
          </w:p>
        </w:tc>
        <w:tc>
          <w:tcPr>
            <w:tcW w:w="493" w:type="pct"/>
          </w:tcPr>
          <w:p w14:paraId="658EF05A" w14:textId="451E9378" w:rsidR="00425BA9" w:rsidRPr="00A25F2C" w:rsidRDefault="00425BA9" w:rsidP="007D0BE0">
            <w:pPr>
              <w:pStyle w:val="TableBodyText"/>
              <w:spacing w:before="30" w:after="30"/>
              <w:jc w:val="right"/>
              <w:rPr>
                <w:b/>
              </w:rPr>
            </w:pPr>
            <w:r w:rsidRPr="00A25F2C">
              <w:t>4.7%</w:t>
            </w:r>
          </w:p>
        </w:tc>
        <w:tc>
          <w:tcPr>
            <w:tcW w:w="494" w:type="pct"/>
          </w:tcPr>
          <w:p w14:paraId="37A78AA8" w14:textId="410C37CA" w:rsidR="00425BA9" w:rsidRPr="00A25F2C" w:rsidRDefault="00425BA9" w:rsidP="007D0BE0">
            <w:pPr>
              <w:pStyle w:val="TableBodyText"/>
              <w:spacing w:before="30" w:after="30"/>
              <w:jc w:val="right"/>
              <w:rPr>
                <w:b/>
              </w:rPr>
            </w:pPr>
            <w:r w:rsidRPr="00A25F2C">
              <w:t>4.4%</w:t>
            </w:r>
          </w:p>
        </w:tc>
      </w:tr>
      <w:tr w:rsidR="00425BA9" w:rsidRPr="00A25F2C" w14:paraId="2F2CECFE" w14:textId="77777777" w:rsidTr="00D83413">
        <w:tc>
          <w:tcPr>
            <w:tcW w:w="1547" w:type="pct"/>
          </w:tcPr>
          <w:p w14:paraId="1DB1524D" w14:textId="0CC50805" w:rsidR="00425BA9" w:rsidRPr="00A25F2C" w:rsidRDefault="00425BA9" w:rsidP="007D0BE0">
            <w:pPr>
              <w:pStyle w:val="TableBodyText"/>
              <w:spacing w:before="30" w:after="30"/>
              <w:rPr>
                <w:b/>
              </w:rPr>
            </w:pPr>
            <w:r w:rsidRPr="00A25F2C">
              <w:t>Return on Equity</w:t>
            </w:r>
          </w:p>
        </w:tc>
        <w:tc>
          <w:tcPr>
            <w:tcW w:w="493" w:type="pct"/>
          </w:tcPr>
          <w:p w14:paraId="36AF27D1" w14:textId="7DD14DCD" w:rsidR="00425BA9" w:rsidRPr="00A25F2C" w:rsidRDefault="00425BA9" w:rsidP="007D0BE0">
            <w:pPr>
              <w:pStyle w:val="TableBodyText"/>
              <w:spacing w:before="30" w:after="30"/>
              <w:jc w:val="right"/>
              <w:rPr>
                <w:b/>
              </w:rPr>
            </w:pPr>
            <w:r w:rsidRPr="00A25F2C">
              <w:t>1.5%</w:t>
            </w:r>
          </w:p>
        </w:tc>
        <w:tc>
          <w:tcPr>
            <w:tcW w:w="493" w:type="pct"/>
          </w:tcPr>
          <w:p w14:paraId="78976094" w14:textId="61A2B532" w:rsidR="00425BA9" w:rsidRPr="00A25F2C" w:rsidRDefault="00425BA9" w:rsidP="007D0BE0">
            <w:pPr>
              <w:pStyle w:val="TableBodyText"/>
              <w:spacing w:before="30" w:after="30"/>
              <w:jc w:val="right"/>
              <w:rPr>
                <w:b/>
              </w:rPr>
            </w:pPr>
            <w:r w:rsidRPr="00A25F2C">
              <w:t>1.3%</w:t>
            </w:r>
          </w:p>
        </w:tc>
        <w:tc>
          <w:tcPr>
            <w:tcW w:w="493" w:type="pct"/>
          </w:tcPr>
          <w:p w14:paraId="6260FDEE" w14:textId="3A0E2597" w:rsidR="00425BA9" w:rsidRPr="00A25F2C" w:rsidRDefault="00425BA9" w:rsidP="007D0BE0">
            <w:pPr>
              <w:pStyle w:val="TableBodyText"/>
              <w:spacing w:before="30" w:after="30"/>
              <w:jc w:val="right"/>
              <w:rPr>
                <w:b/>
              </w:rPr>
            </w:pPr>
            <w:r w:rsidRPr="00A25F2C">
              <w:t>1.7%</w:t>
            </w:r>
          </w:p>
        </w:tc>
        <w:tc>
          <w:tcPr>
            <w:tcW w:w="494" w:type="pct"/>
          </w:tcPr>
          <w:p w14:paraId="3DFA9084" w14:textId="4BC4F74F" w:rsidR="00425BA9" w:rsidRPr="00A25F2C" w:rsidRDefault="00425BA9" w:rsidP="007D0BE0">
            <w:pPr>
              <w:pStyle w:val="TableBodyText"/>
              <w:spacing w:before="30" w:after="30"/>
              <w:jc w:val="right"/>
              <w:rPr>
                <w:b/>
              </w:rPr>
            </w:pPr>
            <w:r w:rsidRPr="00A25F2C">
              <w:t>1.1%</w:t>
            </w:r>
          </w:p>
        </w:tc>
        <w:tc>
          <w:tcPr>
            <w:tcW w:w="493" w:type="pct"/>
          </w:tcPr>
          <w:p w14:paraId="5086F7DC" w14:textId="5E50694A" w:rsidR="00425BA9" w:rsidRPr="00A25F2C" w:rsidRDefault="00425BA9" w:rsidP="007D0BE0">
            <w:pPr>
              <w:pStyle w:val="TableBodyText"/>
              <w:spacing w:before="30" w:after="30"/>
              <w:jc w:val="right"/>
              <w:rPr>
                <w:b/>
              </w:rPr>
            </w:pPr>
            <w:r w:rsidRPr="00A25F2C">
              <w:t>1.8%</w:t>
            </w:r>
          </w:p>
        </w:tc>
        <w:tc>
          <w:tcPr>
            <w:tcW w:w="493" w:type="pct"/>
          </w:tcPr>
          <w:p w14:paraId="64DF9FF1" w14:textId="4DE422AF" w:rsidR="00425BA9" w:rsidRPr="00A25F2C" w:rsidRDefault="00425BA9" w:rsidP="007D0BE0">
            <w:pPr>
              <w:pStyle w:val="TableBodyText"/>
              <w:spacing w:before="30" w:after="30"/>
              <w:jc w:val="right"/>
              <w:rPr>
                <w:b/>
              </w:rPr>
            </w:pPr>
            <w:r w:rsidRPr="00A25F2C">
              <w:t>1.7%</w:t>
            </w:r>
          </w:p>
        </w:tc>
        <w:tc>
          <w:tcPr>
            <w:tcW w:w="494" w:type="pct"/>
          </w:tcPr>
          <w:p w14:paraId="7207C567" w14:textId="44137581" w:rsidR="00425BA9" w:rsidRPr="00A25F2C" w:rsidRDefault="00425BA9" w:rsidP="007D0BE0">
            <w:pPr>
              <w:pStyle w:val="TableBodyText"/>
              <w:spacing w:before="30" w:after="30"/>
              <w:jc w:val="right"/>
              <w:rPr>
                <w:b/>
              </w:rPr>
            </w:pPr>
            <w:r w:rsidRPr="00A25F2C">
              <w:t>1.1%</w:t>
            </w:r>
          </w:p>
        </w:tc>
      </w:tr>
      <w:tr w:rsidR="00425BA9" w:rsidRPr="00A25F2C" w14:paraId="51DBDA6D" w14:textId="77777777" w:rsidTr="00D83413">
        <w:tc>
          <w:tcPr>
            <w:tcW w:w="1547" w:type="pct"/>
          </w:tcPr>
          <w:p w14:paraId="7415C84C" w14:textId="398FBF37" w:rsidR="00425BA9" w:rsidRPr="00A25F2C" w:rsidRDefault="00425BA9" w:rsidP="007D0BE0">
            <w:pPr>
              <w:pStyle w:val="TableBodyText"/>
              <w:spacing w:before="30" w:after="30"/>
              <w:rPr>
                <w:b/>
              </w:rPr>
            </w:pPr>
            <w:r w:rsidRPr="00A25F2C">
              <w:t>EBITDA Margin</w:t>
            </w:r>
          </w:p>
        </w:tc>
        <w:tc>
          <w:tcPr>
            <w:tcW w:w="493" w:type="pct"/>
          </w:tcPr>
          <w:p w14:paraId="02B2048C" w14:textId="5AA7634A" w:rsidR="00425BA9" w:rsidRPr="00A25F2C" w:rsidRDefault="00425BA9" w:rsidP="007D0BE0">
            <w:pPr>
              <w:pStyle w:val="TableBodyText"/>
              <w:spacing w:before="30" w:after="30"/>
              <w:jc w:val="right"/>
              <w:rPr>
                <w:b/>
              </w:rPr>
            </w:pPr>
            <w:r w:rsidRPr="00A25F2C">
              <w:t>66.6%</w:t>
            </w:r>
          </w:p>
        </w:tc>
        <w:tc>
          <w:tcPr>
            <w:tcW w:w="493" w:type="pct"/>
          </w:tcPr>
          <w:p w14:paraId="026528EF" w14:textId="62990491" w:rsidR="00425BA9" w:rsidRPr="00A25F2C" w:rsidRDefault="00425BA9" w:rsidP="007D0BE0">
            <w:pPr>
              <w:pStyle w:val="TableBodyText"/>
              <w:spacing w:before="30" w:after="30"/>
              <w:jc w:val="right"/>
              <w:rPr>
                <w:b/>
              </w:rPr>
            </w:pPr>
            <w:r w:rsidRPr="00A25F2C">
              <w:t>66.4%</w:t>
            </w:r>
          </w:p>
        </w:tc>
        <w:tc>
          <w:tcPr>
            <w:tcW w:w="493" w:type="pct"/>
          </w:tcPr>
          <w:p w14:paraId="7DE00388" w14:textId="23512417" w:rsidR="00425BA9" w:rsidRPr="00A25F2C" w:rsidRDefault="00425BA9" w:rsidP="007D0BE0">
            <w:pPr>
              <w:pStyle w:val="TableBodyText"/>
              <w:spacing w:before="30" w:after="30"/>
              <w:jc w:val="right"/>
              <w:rPr>
                <w:b/>
              </w:rPr>
            </w:pPr>
            <w:r w:rsidRPr="00A25F2C">
              <w:t>65.7%</w:t>
            </w:r>
          </w:p>
        </w:tc>
        <w:tc>
          <w:tcPr>
            <w:tcW w:w="494" w:type="pct"/>
          </w:tcPr>
          <w:p w14:paraId="15F47DC7" w14:textId="7AE25208" w:rsidR="00425BA9" w:rsidRPr="00A25F2C" w:rsidRDefault="00425BA9" w:rsidP="007D0BE0">
            <w:pPr>
              <w:pStyle w:val="TableBodyText"/>
              <w:spacing w:before="30" w:after="30"/>
              <w:jc w:val="right"/>
              <w:rPr>
                <w:b/>
              </w:rPr>
            </w:pPr>
            <w:r w:rsidRPr="00A25F2C">
              <w:t>62.6%</w:t>
            </w:r>
          </w:p>
        </w:tc>
        <w:tc>
          <w:tcPr>
            <w:tcW w:w="493" w:type="pct"/>
          </w:tcPr>
          <w:p w14:paraId="5F89F390" w14:textId="5771E847" w:rsidR="00425BA9" w:rsidRPr="00A25F2C" w:rsidRDefault="00425BA9" w:rsidP="007D0BE0">
            <w:pPr>
              <w:pStyle w:val="TableBodyText"/>
              <w:spacing w:before="30" w:after="30"/>
              <w:jc w:val="right"/>
              <w:rPr>
                <w:b/>
              </w:rPr>
            </w:pPr>
            <w:r w:rsidRPr="00A25F2C">
              <w:t>65.5%</w:t>
            </w:r>
          </w:p>
        </w:tc>
        <w:tc>
          <w:tcPr>
            <w:tcW w:w="493" w:type="pct"/>
          </w:tcPr>
          <w:p w14:paraId="4A51C4F6" w14:textId="47E8D0DF" w:rsidR="00425BA9" w:rsidRPr="00A25F2C" w:rsidRDefault="00425BA9" w:rsidP="007D0BE0">
            <w:pPr>
              <w:pStyle w:val="TableBodyText"/>
              <w:spacing w:before="30" w:after="30"/>
              <w:jc w:val="right"/>
              <w:rPr>
                <w:b/>
              </w:rPr>
            </w:pPr>
            <w:r w:rsidRPr="00A25F2C">
              <w:t>65.9%</w:t>
            </w:r>
          </w:p>
        </w:tc>
        <w:tc>
          <w:tcPr>
            <w:tcW w:w="494" w:type="pct"/>
          </w:tcPr>
          <w:p w14:paraId="3DFDEF8D" w14:textId="49A1D620" w:rsidR="00425BA9" w:rsidRPr="00A25F2C" w:rsidRDefault="00425BA9" w:rsidP="007D0BE0">
            <w:pPr>
              <w:pStyle w:val="TableBodyText"/>
              <w:spacing w:before="30" w:after="30"/>
              <w:jc w:val="right"/>
              <w:rPr>
                <w:b/>
              </w:rPr>
            </w:pPr>
            <w:r w:rsidRPr="00A25F2C">
              <w:t>65.6%</w:t>
            </w:r>
          </w:p>
        </w:tc>
      </w:tr>
    </w:tbl>
    <w:p w14:paraId="7EA36CD0" w14:textId="77777777" w:rsidR="00143D6B" w:rsidRDefault="007F4791" w:rsidP="007F4791">
      <w:pPr>
        <w:pStyle w:val="BodyText"/>
      </w:pPr>
      <w:r w:rsidRPr="00A25F2C">
        <w:t>All tables subject to rounding</w:t>
      </w:r>
    </w:p>
    <w:p w14:paraId="257876B7" w14:textId="65B8D3D5" w:rsidR="007F4791" w:rsidRPr="00A25F2C" w:rsidRDefault="007F4791" w:rsidP="007F4791">
      <w:pPr>
        <w:pStyle w:val="BodyText"/>
      </w:pPr>
      <w:r w:rsidRPr="00A25F2C">
        <w:t>The plan also assumes Melbourne Water will continue to pay out 65 per cent of pre-tax profits to the State Government as dividends and income tax equivalent payments. Dividend and tax payments over the planning period amount to $632.4 million in addition to a capital repatriation of $40.4 million.</w:t>
      </w:r>
    </w:p>
    <w:p w14:paraId="196F14D0" w14:textId="77777777" w:rsidR="007F4791" w:rsidRPr="00A25F2C" w:rsidRDefault="007F4791" w:rsidP="007F4791">
      <w:pPr>
        <w:pStyle w:val="BodyText"/>
      </w:pPr>
      <w:r w:rsidRPr="00A25F2C">
        <w:t>We will closely monitor the capital structure of our business over the planning period to ensure that the cost of capital is minimised and that appropriate metrics are used to monitor our financial sustainability.</w:t>
      </w:r>
    </w:p>
    <w:p w14:paraId="557E2A3B" w14:textId="77777777" w:rsidR="007F4791" w:rsidRPr="00A25F2C" w:rsidRDefault="007F4791" w:rsidP="008B27EB">
      <w:pPr>
        <w:pStyle w:val="Heading2"/>
      </w:pPr>
      <w:bookmarkStart w:id="53" w:name="_Toc147756901"/>
      <w:r w:rsidRPr="00A25F2C">
        <w:t>Revenue</w:t>
      </w:r>
      <w:bookmarkEnd w:id="53"/>
    </w:p>
    <w:p w14:paraId="6426FBE3" w14:textId="77777777" w:rsidR="007F4791" w:rsidRPr="00A25F2C" w:rsidRDefault="007F4791" w:rsidP="007F4791">
      <w:pPr>
        <w:pStyle w:val="BodyText"/>
      </w:pPr>
      <w:r w:rsidRPr="00A25F2C">
        <w:t>Melbourne Water’s revenue is projected to be $10,997.8 million over the 2023-24 to 2027-28 planning period. Our revenue is primarily sourced from water sales, sewerage treatment services, the waterways and drainage charge, and land development activity.</w:t>
      </w:r>
    </w:p>
    <w:p w14:paraId="469A273B" w14:textId="77777777" w:rsidR="007F4791" w:rsidRPr="00A25F2C" w:rsidRDefault="007F4791" w:rsidP="007F4791">
      <w:pPr>
        <w:pStyle w:val="BodyText"/>
      </w:pPr>
      <w:r w:rsidRPr="00A25F2C">
        <w:t>We expect steadily increasing demand for water and sewerage treatment services resulting from an increase in demand driven by population growth. This growth will also lead to an increase in the number of waterways and drainage customers and associated revenues while land development activity is expected to continue to increase steadily over the planning period.</w:t>
      </w:r>
    </w:p>
    <w:p w14:paraId="22DFCE43" w14:textId="77777777" w:rsidR="007F4791" w:rsidRPr="00A25F2C" w:rsidRDefault="007F4791" w:rsidP="007F4791">
      <w:pPr>
        <w:pStyle w:val="BodyText"/>
      </w:pPr>
      <w:r w:rsidRPr="00A25F2C">
        <w:t>The outlook for revenue from water sales is also subject to climatic conditions and the influence of water conservation programs.</w:t>
      </w:r>
    </w:p>
    <w:p w14:paraId="7EF8B348" w14:textId="77777777" w:rsidR="007F4791" w:rsidRPr="00A25F2C" w:rsidRDefault="007F4791" w:rsidP="008B27EB">
      <w:pPr>
        <w:pStyle w:val="Caption"/>
      </w:pPr>
      <w:r w:rsidRPr="00A25F2C">
        <w:lastRenderedPageBreak/>
        <w:t>Melbourne Water forecast operating revenue for 2022-23 to 2027-28</w:t>
      </w:r>
    </w:p>
    <w:p w14:paraId="5C03DDE9" w14:textId="3097EA95" w:rsidR="009A601F" w:rsidRDefault="0097448D" w:rsidP="007F4791">
      <w:pPr>
        <w:pStyle w:val="BodyText"/>
        <w:rPr>
          <w:b/>
        </w:rPr>
      </w:pPr>
      <w:r>
        <w:rPr>
          <w:b/>
          <w:noProof/>
        </w:rPr>
        <w:drawing>
          <wp:inline distT="0" distB="0" distL="0" distR="0" wp14:anchorId="4F0F26C0" wp14:editId="2DA53567">
            <wp:extent cx="6115685" cy="2807970"/>
            <wp:effectExtent l="0" t="0" r="0" b="0"/>
            <wp:docPr id="29" name="Picture 29" descr="A graph showing the Melbourne Water forecast operating revenue for 2022-23 to 2027-28. Refer to data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showing the Melbourne Water forecast operating revenue for 2022-23 to 2027-28. Refer to data table below."/>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5685" cy="2807970"/>
                    </a:xfrm>
                    <a:prstGeom prst="rect">
                      <a:avLst/>
                    </a:prstGeom>
                  </pic:spPr>
                </pic:pic>
              </a:graphicData>
            </a:graphic>
          </wp:inline>
        </w:drawing>
      </w:r>
    </w:p>
    <w:tbl>
      <w:tblPr>
        <w:tblStyle w:val="TableProfessional"/>
        <w:tblW w:w="5000" w:type="pct"/>
        <w:tblLook w:val="0620" w:firstRow="1" w:lastRow="0" w:firstColumn="0" w:lastColumn="0" w:noHBand="1" w:noVBand="1"/>
      </w:tblPr>
      <w:tblGrid>
        <w:gridCol w:w="3384"/>
        <w:gridCol w:w="1254"/>
        <w:gridCol w:w="1044"/>
        <w:gridCol w:w="990"/>
        <w:gridCol w:w="975"/>
        <w:gridCol w:w="975"/>
        <w:gridCol w:w="1009"/>
      </w:tblGrid>
      <w:tr w:rsidR="007F4791" w:rsidRPr="00A25F2C" w14:paraId="04145FCA" w14:textId="77777777" w:rsidTr="0086694E">
        <w:trPr>
          <w:cnfStyle w:val="100000000000" w:firstRow="1" w:lastRow="0" w:firstColumn="0" w:lastColumn="0" w:oddVBand="0" w:evenVBand="0" w:oddHBand="0" w:evenHBand="0" w:firstRowFirstColumn="0" w:firstRowLastColumn="0" w:lastRowFirstColumn="0" w:lastRowLastColumn="0"/>
          <w:cantSplit/>
        </w:trPr>
        <w:tc>
          <w:tcPr>
            <w:tcW w:w="1757" w:type="pct"/>
          </w:tcPr>
          <w:p w14:paraId="6FB86B3E" w14:textId="27FAE46F" w:rsidR="007F4791" w:rsidRPr="00A25F2C" w:rsidRDefault="007F4791" w:rsidP="004E1FA1">
            <w:pPr>
              <w:pStyle w:val="TableBodyText"/>
            </w:pPr>
            <w:r w:rsidRPr="00A25F2C">
              <w:t>Revenue (</w:t>
            </w:r>
            <w:r w:rsidR="00E65500">
              <w:t>$ million</w:t>
            </w:r>
            <w:r w:rsidRPr="00A25F2C">
              <w:t>)</w:t>
            </w:r>
          </w:p>
        </w:tc>
        <w:tc>
          <w:tcPr>
            <w:tcW w:w="651" w:type="pct"/>
          </w:tcPr>
          <w:p w14:paraId="10F720BD" w14:textId="77777777" w:rsidR="007F4791" w:rsidRPr="00A25F2C" w:rsidRDefault="007F4791" w:rsidP="00EA2D5D">
            <w:pPr>
              <w:pStyle w:val="TableBodyText"/>
              <w:jc w:val="right"/>
            </w:pPr>
            <w:r w:rsidRPr="00A25F2C">
              <w:t>2022-23</w:t>
            </w:r>
          </w:p>
          <w:p w14:paraId="73AFA5D5" w14:textId="77777777" w:rsidR="007F4791" w:rsidRPr="00A25F2C" w:rsidRDefault="007F4791" w:rsidP="00EA2D5D">
            <w:pPr>
              <w:pStyle w:val="TableBodyText"/>
              <w:jc w:val="right"/>
            </w:pPr>
            <w:r w:rsidRPr="00A25F2C">
              <w:t>Forecast</w:t>
            </w:r>
          </w:p>
        </w:tc>
        <w:tc>
          <w:tcPr>
            <w:tcW w:w="542" w:type="pct"/>
          </w:tcPr>
          <w:p w14:paraId="3479DEE8" w14:textId="77777777" w:rsidR="007F4791" w:rsidRPr="00A25F2C" w:rsidRDefault="007F4791" w:rsidP="00EA2D5D">
            <w:pPr>
              <w:pStyle w:val="TableBodyText"/>
              <w:jc w:val="right"/>
            </w:pPr>
            <w:r w:rsidRPr="00A25F2C">
              <w:t>2023-24</w:t>
            </w:r>
          </w:p>
        </w:tc>
        <w:tc>
          <w:tcPr>
            <w:tcW w:w="514" w:type="pct"/>
          </w:tcPr>
          <w:p w14:paraId="42692DF1" w14:textId="77777777" w:rsidR="007F4791" w:rsidRPr="00A25F2C" w:rsidRDefault="007F4791" w:rsidP="00EA2D5D">
            <w:pPr>
              <w:pStyle w:val="TableBodyText"/>
              <w:jc w:val="right"/>
            </w:pPr>
            <w:r w:rsidRPr="00A25F2C">
              <w:t>2024-25</w:t>
            </w:r>
          </w:p>
        </w:tc>
        <w:tc>
          <w:tcPr>
            <w:tcW w:w="506" w:type="pct"/>
          </w:tcPr>
          <w:p w14:paraId="58145136" w14:textId="77777777" w:rsidR="007F4791" w:rsidRPr="00A25F2C" w:rsidRDefault="007F4791" w:rsidP="00EA2D5D">
            <w:pPr>
              <w:pStyle w:val="TableBodyText"/>
              <w:jc w:val="right"/>
            </w:pPr>
            <w:r w:rsidRPr="00A25F2C">
              <w:t>2025-26</w:t>
            </w:r>
          </w:p>
        </w:tc>
        <w:tc>
          <w:tcPr>
            <w:tcW w:w="506" w:type="pct"/>
          </w:tcPr>
          <w:p w14:paraId="1E7C7C94" w14:textId="77777777" w:rsidR="007F4791" w:rsidRPr="00A25F2C" w:rsidRDefault="007F4791" w:rsidP="00EA2D5D">
            <w:pPr>
              <w:pStyle w:val="TableBodyText"/>
              <w:jc w:val="right"/>
            </w:pPr>
            <w:r w:rsidRPr="00A25F2C">
              <w:t>2026-27</w:t>
            </w:r>
          </w:p>
        </w:tc>
        <w:tc>
          <w:tcPr>
            <w:tcW w:w="524" w:type="pct"/>
          </w:tcPr>
          <w:p w14:paraId="28C40C30" w14:textId="77777777" w:rsidR="007F4791" w:rsidRPr="00A25F2C" w:rsidRDefault="007F4791" w:rsidP="00EA2D5D">
            <w:pPr>
              <w:pStyle w:val="TableBodyText"/>
              <w:jc w:val="right"/>
            </w:pPr>
            <w:r w:rsidRPr="00A25F2C">
              <w:t>2027-28</w:t>
            </w:r>
          </w:p>
        </w:tc>
      </w:tr>
      <w:tr w:rsidR="007F4791" w:rsidRPr="00A25F2C" w14:paraId="3268DC4B" w14:textId="77777777" w:rsidTr="0086694E">
        <w:trPr>
          <w:cantSplit/>
        </w:trPr>
        <w:tc>
          <w:tcPr>
            <w:tcW w:w="1757" w:type="pct"/>
          </w:tcPr>
          <w:p w14:paraId="1CAB6D66" w14:textId="77777777" w:rsidR="007F4791" w:rsidRPr="00A25F2C" w:rsidRDefault="007F4791" w:rsidP="004E1FA1">
            <w:pPr>
              <w:pStyle w:val="TableBodyText"/>
            </w:pPr>
            <w:r w:rsidRPr="00A25F2C">
              <w:t>Water</w:t>
            </w:r>
          </w:p>
        </w:tc>
        <w:tc>
          <w:tcPr>
            <w:tcW w:w="651" w:type="pct"/>
            <w:shd w:val="clear" w:color="auto" w:fill="F2F2F2" w:themeFill="background1" w:themeFillShade="F2"/>
          </w:tcPr>
          <w:p w14:paraId="7790B18D" w14:textId="77777777" w:rsidR="007F4791" w:rsidRPr="00A25F2C" w:rsidRDefault="007F4791" w:rsidP="00EA2D5D">
            <w:pPr>
              <w:pStyle w:val="TableBodyText"/>
              <w:jc w:val="right"/>
            </w:pPr>
            <w:r w:rsidRPr="00A25F2C">
              <w:t>908.3</w:t>
            </w:r>
          </w:p>
        </w:tc>
        <w:tc>
          <w:tcPr>
            <w:tcW w:w="542" w:type="pct"/>
          </w:tcPr>
          <w:p w14:paraId="04F863B7" w14:textId="77777777" w:rsidR="007F4791" w:rsidRPr="00A25F2C" w:rsidRDefault="007F4791" w:rsidP="00EA2D5D">
            <w:pPr>
              <w:pStyle w:val="TableBodyText"/>
              <w:jc w:val="right"/>
            </w:pPr>
            <w:r w:rsidRPr="00A25F2C">
              <w:t>945.0</w:t>
            </w:r>
          </w:p>
        </w:tc>
        <w:tc>
          <w:tcPr>
            <w:tcW w:w="514" w:type="pct"/>
          </w:tcPr>
          <w:p w14:paraId="48160FC3" w14:textId="77777777" w:rsidR="007F4791" w:rsidRPr="00A25F2C" w:rsidRDefault="007F4791" w:rsidP="00EA2D5D">
            <w:pPr>
              <w:pStyle w:val="TableBodyText"/>
              <w:jc w:val="right"/>
            </w:pPr>
            <w:r w:rsidRPr="00A25F2C">
              <w:t>1,022.8</w:t>
            </w:r>
          </w:p>
        </w:tc>
        <w:tc>
          <w:tcPr>
            <w:tcW w:w="506" w:type="pct"/>
          </w:tcPr>
          <w:p w14:paraId="11679318" w14:textId="77777777" w:rsidR="007F4791" w:rsidRPr="00A25F2C" w:rsidRDefault="007F4791" w:rsidP="00EA2D5D">
            <w:pPr>
              <w:pStyle w:val="TableBodyText"/>
              <w:jc w:val="right"/>
            </w:pPr>
            <w:r w:rsidRPr="00A25F2C">
              <w:t>1,055.3</w:t>
            </w:r>
          </w:p>
        </w:tc>
        <w:tc>
          <w:tcPr>
            <w:tcW w:w="506" w:type="pct"/>
          </w:tcPr>
          <w:p w14:paraId="4D82BEBC" w14:textId="77777777" w:rsidR="007F4791" w:rsidRPr="00A25F2C" w:rsidRDefault="007F4791" w:rsidP="00EA2D5D">
            <w:pPr>
              <w:pStyle w:val="TableBodyText"/>
              <w:jc w:val="right"/>
            </w:pPr>
            <w:r w:rsidRPr="00A25F2C">
              <w:t>1,068.5</w:t>
            </w:r>
          </w:p>
        </w:tc>
        <w:tc>
          <w:tcPr>
            <w:tcW w:w="524" w:type="pct"/>
          </w:tcPr>
          <w:p w14:paraId="2BDC02EC" w14:textId="77777777" w:rsidR="007F4791" w:rsidRPr="00A25F2C" w:rsidRDefault="007F4791" w:rsidP="00EA2D5D">
            <w:pPr>
              <w:pStyle w:val="TableBodyText"/>
              <w:jc w:val="right"/>
            </w:pPr>
            <w:r w:rsidRPr="00A25F2C">
              <w:t>1,098.9</w:t>
            </w:r>
          </w:p>
        </w:tc>
      </w:tr>
      <w:tr w:rsidR="007F4791" w:rsidRPr="00A25F2C" w14:paraId="38510E46" w14:textId="77777777" w:rsidTr="0086694E">
        <w:trPr>
          <w:cantSplit/>
        </w:trPr>
        <w:tc>
          <w:tcPr>
            <w:tcW w:w="1757" w:type="pct"/>
          </w:tcPr>
          <w:p w14:paraId="7BD80ACD" w14:textId="77777777" w:rsidR="007F4791" w:rsidRPr="00A25F2C" w:rsidRDefault="007F4791" w:rsidP="004E1FA1">
            <w:pPr>
              <w:pStyle w:val="TableBodyText"/>
            </w:pPr>
            <w:r w:rsidRPr="00A25F2C">
              <w:t>Sewerage</w:t>
            </w:r>
          </w:p>
        </w:tc>
        <w:tc>
          <w:tcPr>
            <w:tcW w:w="651" w:type="pct"/>
            <w:shd w:val="clear" w:color="auto" w:fill="F2F2F2" w:themeFill="background1" w:themeFillShade="F2"/>
          </w:tcPr>
          <w:p w14:paraId="2A234758" w14:textId="77777777" w:rsidR="007F4791" w:rsidRPr="00A25F2C" w:rsidRDefault="007F4791" w:rsidP="00EA2D5D">
            <w:pPr>
              <w:pStyle w:val="TableBodyText"/>
              <w:jc w:val="right"/>
            </w:pPr>
            <w:r w:rsidRPr="00A25F2C">
              <w:t>441.7</w:t>
            </w:r>
          </w:p>
        </w:tc>
        <w:tc>
          <w:tcPr>
            <w:tcW w:w="542" w:type="pct"/>
          </w:tcPr>
          <w:p w14:paraId="2674D1F6" w14:textId="77777777" w:rsidR="007F4791" w:rsidRPr="00A25F2C" w:rsidRDefault="007F4791" w:rsidP="00EA2D5D">
            <w:pPr>
              <w:pStyle w:val="TableBodyText"/>
              <w:jc w:val="right"/>
            </w:pPr>
            <w:r w:rsidRPr="00A25F2C">
              <w:t>487.3</w:t>
            </w:r>
          </w:p>
        </w:tc>
        <w:tc>
          <w:tcPr>
            <w:tcW w:w="514" w:type="pct"/>
          </w:tcPr>
          <w:p w14:paraId="6AA79FC8" w14:textId="77777777" w:rsidR="007F4791" w:rsidRPr="00A25F2C" w:rsidRDefault="007F4791" w:rsidP="00EA2D5D">
            <w:pPr>
              <w:pStyle w:val="TableBodyText"/>
              <w:jc w:val="right"/>
            </w:pPr>
            <w:r w:rsidRPr="00A25F2C">
              <w:t>518.9</w:t>
            </w:r>
          </w:p>
        </w:tc>
        <w:tc>
          <w:tcPr>
            <w:tcW w:w="506" w:type="pct"/>
          </w:tcPr>
          <w:p w14:paraId="3BA9BE8E" w14:textId="77777777" w:rsidR="007F4791" w:rsidRPr="00A25F2C" w:rsidRDefault="007F4791" w:rsidP="00EA2D5D">
            <w:pPr>
              <w:pStyle w:val="TableBodyText"/>
              <w:jc w:val="right"/>
            </w:pPr>
            <w:r w:rsidRPr="00A25F2C">
              <w:t>552.0</w:t>
            </w:r>
          </w:p>
        </w:tc>
        <w:tc>
          <w:tcPr>
            <w:tcW w:w="506" w:type="pct"/>
          </w:tcPr>
          <w:p w14:paraId="7A0033EF" w14:textId="77777777" w:rsidR="007F4791" w:rsidRPr="00A25F2C" w:rsidRDefault="007F4791" w:rsidP="00EA2D5D">
            <w:pPr>
              <w:pStyle w:val="TableBodyText"/>
              <w:jc w:val="right"/>
            </w:pPr>
            <w:r w:rsidRPr="00A25F2C">
              <w:t>564.1</w:t>
            </w:r>
          </w:p>
        </w:tc>
        <w:tc>
          <w:tcPr>
            <w:tcW w:w="524" w:type="pct"/>
          </w:tcPr>
          <w:p w14:paraId="74D55CAB" w14:textId="77777777" w:rsidR="007F4791" w:rsidRPr="00A25F2C" w:rsidRDefault="007F4791" w:rsidP="00EA2D5D">
            <w:pPr>
              <w:pStyle w:val="TableBodyText"/>
              <w:jc w:val="right"/>
            </w:pPr>
            <w:r w:rsidRPr="00A25F2C">
              <w:t>596.1</w:t>
            </w:r>
          </w:p>
        </w:tc>
      </w:tr>
      <w:tr w:rsidR="007F4791" w:rsidRPr="00A25F2C" w14:paraId="55C3904A" w14:textId="77777777" w:rsidTr="0086694E">
        <w:trPr>
          <w:cantSplit/>
        </w:trPr>
        <w:tc>
          <w:tcPr>
            <w:tcW w:w="1757" w:type="pct"/>
          </w:tcPr>
          <w:p w14:paraId="189D5A8A" w14:textId="77777777" w:rsidR="007F4791" w:rsidRPr="00A25F2C" w:rsidRDefault="007F4791" w:rsidP="004E1FA1">
            <w:pPr>
              <w:pStyle w:val="TableBodyText"/>
            </w:pPr>
            <w:r w:rsidRPr="00A25F2C">
              <w:t>Waterways</w:t>
            </w:r>
          </w:p>
        </w:tc>
        <w:tc>
          <w:tcPr>
            <w:tcW w:w="651" w:type="pct"/>
            <w:shd w:val="clear" w:color="auto" w:fill="F2F2F2" w:themeFill="background1" w:themeFillShade="F2"/>
          </w:tcPr>
          <w:p w14:paraId="67A72211" w14:textId="77777777" w:rsidR="007F4791" w:rsidRPr="00A25F2C" w:rsidRDefault="007F4791" w:rsidP="00EA2D5D">
            <w:pPr>
              <w:pStyle w:val="TableBodyText"/>
              <w:jc w:val="right"/>
            </w:pPr>
            <w:r w:rsidRPr="00A25F2C">
              <w:t>289.0</w:t>
            </w:r>
          </w:p>
        </w:tc>
        <w:tc>
          <w:tcPr>
            <w:tcW w:w="542" w:type="pct"/>
          </w:tcPr>
          <w:p w14:paraId="11D2E063" w14:textId="77777777" w:rsidR="007F4791" w:rsidRPr="00A25F2C" w:rsidRDefault="007F4791" w:rsidP="00EA2D5D">
            <w:pPr>
              <w:pStyle w:val="TableBodyText"/>
              <w:jc w:val="right"/>
            </w:pPr>
            <w:r w:rsidRPr="00A25F2C">
              <w:t>323.0</w:t>
            </w:r>
          </w:p>
        </w:tc>
        <w:tc>
          <w:tcPr>
            <w:tcW w:w="514" w:type="pct"/>
          </w:tcPr>
          <w:p w14:paraId="61F6F341" w14:textId="77777777" w:rsidR="007F4791" w:rsidRPr="00A25F2C" w:rsidRDefault="007F4791" w:rsidP="00EA2D5D">
            <w:pPr>
              <w:pStyle w:val="TableBodyText"/>
              <w:jc w:val="right"/>
            </w:pPr>
            <w:r w:rsidRPr="00A25F2C">
              <w:t>340.1</w:t>
            </w:r>
          </w:p>
        </w:tc>
        <w:tc>
          <w:tcPr>
            <w:tcW w:w="506" w:type="pct"/>
          </w:tcPr>
          <w:p w14:paraId="59DEF4C8" w14:textId="77777777" w:rsidR="007F4791" w:rsidRPr="00A25F2C" w:rsidRDefault="007F4791" w:rsidP="00EA2D5D">
            <w:pPr>
              <w:pStyle w:val="TableBodyText"/>
              <w:jc w:val="right"/>
            </w:pPr>
            <w:r w:rsidRPr="00A25F2C">
              <w:t>357.1</w:t>
            </w:r>
          </w:p>
        </w:tc>
        <w:tc>
          <w:tcPr>
            <w:tcW w:w="506" w:type="pct"/>
          </w:tcPr>
          <w:p w14:paraId="59617346" w14:textId="77777777" w:rsidR="007F4791" w:rsidRPr="00A25F2C" w:rsidRDefault="007F4791" w:rsidP="00EA2D5D">
            <w:pPr>
              <w:pStyle w:val="TableBodyText"/>
              <w:jc w:val="right"/>
            </w:pPr>
            <w:r w:rsidRPr="00A25F2C">
              <w:t>385.4</w:t>
            </w:r>
          </w:p>
        </w:tc>
        <w:tc>
          <w:tcPr>
            <w:tcW w:w="524" w:type="pct"/>
          </w:tcPr>
          <w:p w14:paraId="0A901D60" w14:textId="77777777" w:rsidR="007F4791" w:rsidRPr="00A25F2C" w:rsidRDefault="007F4791" w:rsidP="00EA2D5D">
            <w:pPr>
              <w:pStyle w:val="TableBodyText"/>
              <w:jc w:val="right"/>
            </w:pPr>
            <w:r w:rsidRPr="00A25F2C">
              <w:t>402.0</w:t>
            </w:r>
          </w:p>
        </w:tc>
      </w:tr>
      <w:tr w:rsidR="007F4791" w:rsidRPr="00A25F2C" w14:paraId="17DF7EAA" w14:textId="77777777" w:rsidTr="0086694E">
        <w:trPr>
          <w:cantSplit/>
        </w:trPr>
        <w:tc>
          <w:tcPr>
            <w:tcW w:w="1757" w:type="pct"/>
          </w:tcPr>
          <w:p w14:paraId="4A834B5D" w14:textId="77777777" w:rsidR="007F4791" w:rsidRPr="00A25F2C" w:rsidRDefault="007F4791" w:rsidP="004E1FA1">
            <w:pPr>
              <w:pStyle w:val="TableBodyText"/>
            </w:pPr>
            <w:r w:rsidRPr="00A25F2C">
              <w:t>Developer Contributions</w:t>
            </w:r>
          </w:p>
        </w:tc>
        <w:tc>
          <w:tcPr>
            <w:tcW w:w="651" w:type="pct"/>
            <w:shd w:val="clear" w:color="auto" w:fill="F2F2F2" w:themeFill="background1" w:themeFillShade="F2"/>
          </w:tcPr>
          <w:p w14:paraId="29EEF884" w14:textId="77777777" w:rsidR="007F4791" w:rsidRPr="00A25F2C" w:rsidRDefault="007F4791" w:rsidP="00EA2D5D">
            <w:pPr>
              <w:pStyle w:val="TableBodyText"/>
              <w:jc w:val="right"/>
            </w:pPr>
            <w:r w:rsidRPr="00A25F2C">
              <w:t>171.0</w:t>
            </w:r>
          </w:p>
        </w:tc>
        <w:tc>
          <w:tcPr>
            <w:tcW w:w="542" w:type="pct"/>
          </w:tcPr>
          <w:p w14:paraId="4FC0AF9A" w14:textId="77777777" w:rsidR="007F4791" w:rsidRPr="00A25F2C" w:rsidRDefault="007F4791" w:rsidP="00EA2D5D">
            <w:pPr>
              <w:pStyle w:val="TableBodyText"/>
              <w:jc w:val="right"/>
            </w:pPr>
            <w:r w:rsidRPr="00A25F2C">
              <w:t>183.0</w:t>
            </w:r>
          </w:p>
        </w:tc>
        <w:tc>
          <w:tcPr>
            <w:tcW w:w="514" w:type="pct"/>
          </w:tcPr>
          <w:p w14:paraId="2E1D8402" w14:textId="77777777" w:rsidR="007F4791" w:rsidRPr="00A25F2C" w:rsidRDefault="007F4791" w:rsidP="00EA2D5D">
            <w:pPr>
              <w:pStyle w:val="TableBodyText"/>
              <w:jc w:val="right"/>
            </w:pPr>
            <w:r w:rsidRPr="00A25F2C">
              <w:t>180.0</w:t>
            </w:r>
          </w:p>
        </w:tc>
        <w:tc>
          <w:tcPr>
            <w:tcW w:w="506" w:type="pct"/>
          </w:tcPr>
          <w:p w14:paraId="3D5E0B21" w14:textId="77777777" w:rsidR="007F4791" w:rsidRPr="00A25F2C" w:rsidRDefault="007F4791" w:rsidP="00EA2D5D">
            <w:pPr>
              <w:pStyle w:val="TableBodyText"/>
              <w:jc w:val="right"/>
            </w:pPr>
            <w:r w:rsidRPr="00A25F2C">
              <w:t>200.0</w:t>
            </w:r>
          </w:p>
        </w:tc>
        <w:tc>
          <w:tcPr>
            <w:tcW w:w="506" w:type="pct"/>
          </w:tcPr>
          <w:p w14:paraId="5BDDD8FD" w14:textId="77777777" w:rsidR="007F4791" w:rsidRPr="00A25F2C" w:rsidRDefault="007F4791" w:rsidP="00EA2D5D">
            <w:pPr>
              <w:pStyle w:val="TableBodyText"/>
              <w:jc w:val="right"/>
            </w:pPr>
            <w:r w:rsidRPr="00A25F2C">
              <w:t>200.0</w:t>
            </w:r>
          </w:p>
        </w:tc>
        <w:tc>
          <w:tcPr>
            <w:tcW w:w="524" w:type="pct"/>
          </w:tcPr>
          <w:p w14:paraId="68DA403E" w14:textId="77777777" w:rsidR="007F4791" w:rsidRPr="00A25F2C" w:rsidRDefault="007F4791" w:rsidP="00EA2D5D">
            <w:pPr>
              <w:pStyle w:val="TableBodyText"/>
              <w:jc w:val="right"/>
            </w:pPr>
            <w:r w:rsidRPr="00A25F2C">
              <w:t>200.0</w:t>
            </w:r>
          </w:p>
        </w:tc>
      </w:tr>
      <w:tr w:rsidR="007F4791" w:rsidRPr="00A25F2C" w14:paraId="03840E5C" w14:textId="77777777" w:rsidTr="0086694E">
        <w:trPr>
          <w:cantSplit/>
        </w:trPr>
        <w:tc>
          <w:tcPr>
            <w:tcW w:w="1757" w:type="pct"/>
          </w:tcPr>
          <w:p w14:paraId="740B0810" w14:textId="77777777" w:rsidR="007F4791" w:rsidRPr="00A25F2C" w:rsidRDefault="007F4791" w:rsidP="004E1FA1">
            <w:pPr>
              <w:pStyle w:val="TableBodyText"/>
            </w:pPr>
            <w:r w:rsidRPr="00A25F2C">
              <w:t>Developer Contributed Assets</w:t>
            </w:r>
          </w:p>
        </w:tc>
        <w:tc>
          <w:tcPr>
            <w:tcW w:w="651" w:type="pct"/>
            <w:shd w:val="clear" w:color="auto" w:fill="F2F2F2" w:themeFill="background1" w:themeFillShade="F2"/>
          </w:tcPr>
          <w:p w14:paraId="66413284" w14:textId="77777777" w:rsidR="007F4791" w:rsidRPr="00A25F2C" w:rsidRDefault="007F4791" w:rsidP="00EA2D5D">
            <w:pPr>
              <w:pStyle w:val="TableBodyText"/>
              <w:jc w:val="right"/>
            </w:pPr>
            <w:r w:rsidRPr="00A25F2C">
              <w:t>19.3</w:t>
            </w:r>
          </w:p>
        </w:tc>
        <w:tc>
          <w:tcPr>
            <w:tcW w:w="542" w:type="pct"/>
          </w:tcPr>
          <w:p w14:paraId="6E3BD096" w14:textId="77777777" w:rsidR="007F4791" w:rsidRPr="00A25F2C" w:rsidRDefault="007F4791" w:rsidP="00EA2D5D">
            <w:pPr>
              <w:pStyle w:val="TableBodyText"/>
              <w:jc w:val="right"/>
            </w:pPr>
            <w:r w:rsidRPr="00A25F2C">
              <w:t>37.0</w:t>
            </w:r>
          </w:p>
        </w:tc>
        <w:tc>
          <w:tcPr>
            <w:tcW w:w="514" w:type="pct"/>
          </w:tcPr>
          <w:p w14:paraId="07BDF425" w14:textId="77777777" w:rsidR="007F4791" w:rsidRPr="00A25F2C" w:rsidRDefault="007F4791" w:rsidP="00EA2D5D">
            <w:pPr>
              <w:pStyle w:val="TableBodyText"/>
              <w:jc w:val="right"/>
            </w:pPr>
            <w:r w:rsidRPr="00A25F2C">
              <w:t>37.0</w:t>
            </w:r>
          </w:p>
        </w:tc>
        <w:tc>
          <w:tcPr>
            <w:tcW w:w="506" w:type="pct"/>
          </w:tcPr>
          <w:p w14:paraId="1D4BE76A" w14:textId="77777777" w:rsidR="007F4791" w:rsidRPr="00A25F2C" w:rsidRDefault="007F4791" w:rsidP="00EA2D5D">
            <w:pPr>
              <w:pStyle w:val="TableBodyText"/>
              <w:jc w:val="right"/>
            </w:pPr>
            <w:r w:rsidRPr="00A25F2C">
              <w:t>37.0</w:t>
            </w:r>
          </w:p>
        </w:tc>
        <w:tc>
          <w:tcPr>
            <w:tcW w:w="506" w:type="pct"/>
          </w:tcPr>
          <w:p w14:paraId="03F99B4A" w14:textId="77777777" w:rsidR="007F4791" w:rsidRPr="00A25F2C" w:rsidRDefault="007F4791" w:rsidP="00EA2D5D">
            <w:pPr>
              <w:pStyle w:val="TableBodyText"/>
              <w:jc w:val="right"/>
            </w:pPr>
            <w:r w:rsidRPr="00A25F2C">
              <w:t>37.0</w:t>
            </w:r>
          </w:p>
        </w:tc>
        <w:tc>
          <w:tcPr>
            <w:tcW w:w="524" w:type="pct"/>
          </w:tcPr>
          <w:p w14:paraId="19C707D4" w14:textId="77777777" w:rsidR="007F4791" w:rsidRPr="00A25F2C" w:rsidRDefault="007F4791" w:rsidP="00EA2D5D">
            <w:pPr>
              <w:pStyle w:val="TableBodyText"/>
              <w:jc w:val="right"/>
            </w:pPr>
            <w:r w:rsidRPr="00A25F2C">
              <w:t>37.0</w:t>
            </w:r>
          </w:p>
        </w:tc>
      </w:tr>
      <w:tr w:rsidR="007F4791" w:rsidRPr="00A25F2C" w14:paraId="5D3BF52A" w14:textId="77777777" w:rsidTr="0086694E">
        <w:trPr>
          <w:cantSplit/>
        </w:trPr>
        <w:tc>
          <w:tcPr>
            <w:tcW w:w="1757" w:type="pct"/>
          </w:tcPr>
          <w:p w14:paraId="7C2797B1" w14:textId="77777777" w:rsidR="007F4791" w:rsidRPr="00A25F2C" w:rsidRDefault="007F4791" w:rsidP="004E1FA1">
            <w:pPr>
              <w:pStyle w:val="TableBodyText"/>
            </w:pPr>
            <w:r w:rsidRPr="00A25F2C">
              <w:t>Other</w:t>
            </w:r>
          </w:p>
        </w:tc>
        <w:tc>
          <w:tcPr>
            <w:tcW w:w="651" w:type="pct"/>
            <w:shd w:val="clear" w:color="auto" w:fill="F2F2F2" w:themeFill="background1" w:themeFillShade="F2"/>
          </w:tcPr>
          <w:p w14:paraId="15F34AF4" w14:textId="77777777" w:rsidR="007F4791" w:rsidRPr="00A25F2C" w:rsidRDefault="007F4791" w:rsidP="00EA2D5D">
            <w:pPr>
              <w:pStyle w:val="TableBodyText"/>
              <w:jc w:val="right"/>
            </w:pPr>
            <w:r w:rsidRPr="00A25F2C">
              <w:t>31.8</w:t>
            </w:r>
          </w:p>
        </w:tc>
        <w:tc>
          <w:tcPr>
            <w:tcW w:w="542" w:type="pct"/>
          </w:tcPr>
          <w:p w14:paraId="318F2A9D" w14:textId="77777777" w:rsidR="007F4791" w:rsidRPr="00A25F2C" w:rsidRDefault="007F4791" w:rsidP="00EA2D5D">
            <w:pPr>
              <w:pStyle w:val="TableBodyText"/>
              <w:jc w:val="right"/>
            </w:pPr>
            <w:r w:rsidRPr="00A25F2C">
              <w:t>32.0</w:t>
            </w:r>
          </w:p>
        </w:tc>
        <w:tc>
          <w:tcPr>
            <w:tcW w:w="514" w:type="pct"/>
          </w:tcPr>
          <w:p w14:paraId="5C6296CF" w14:textId="77777777" w:rsidR="007F4791" w:rsidRPr="00A25F2C" w:rsidRDefault="007F4791" w:rsidP="00EA2D5D">
            <w:pPr>
              <w:pStyle w:val="TableBodyText"/>
              <w:jc w:val="right"/>
            </w:pPr>
            <w:r w:rsidRPr="00A25F2C">
              <w:t>35.3</w:t>
            </w:r>
          </w:p>
        </w:tc>
        <w:tc>
          <w:tcPr>
            <w:tcW w:w="506" w:type="pct"/>
          </w:tcPr>
          <w:p w14:paraId="4D4071DE" w14:textId="77777777" w:rsidR="007F4791" w:rsidRPr="00A25F2C" w:rsidRDefault="007F4791" w:rsidP="00EA2D5D">
            <w:pPr>
              <w:pStyle w:val="TableBodyText"/>
              <w:jc w:val="right"/>
            </w:pPr>
            <w:r w:rsidRPr="00A25F2C">
              <w:t>21.5</w:t>
            </w:r>
          </w:p>
        </w:tc>
        <w:tc>
          <w:tcPr>
            <w:tcW w:w="506" w:type="pct"/>
          </w:tcPr>
          <w:p w14:paraId="3C5D365A" w14:textId="77777777" w:rsidR="007F4791" w:rsidRPr="00A25F2C" w:rsidRDefault="007F4791" w:rsidP="00EA2D5D">
            <w:pPr>
              <w:pStyle w:val="TableBodyText"/>
              <w:jc w:val="right"/>
            </w:pPr>
            <w:r w:rsidRPr="00A25F2C">
              <w:t>32.4</w:t>
            </w:r>
          </w:p>
        </w:tc>
        <w:tc>
          <w:tcPr>
            <w:tcW w:w="524" w:type="pct"/>
          </w:tcPr>
          <w:p w14:paraId="5EFAF954" w14:textId="77777777" w:rsidR="007F4791" w:rsidRPr="00A25F2C" w:rsidRDefault="007F4791" w:rsidP="00EA2D5D">
            <w:pPr>
              <w:pStyle w:val="TableBodyText"/>
              <w:jc w:val="right"/>
            </w:pPr>
            <w:r w:rsidRPr="00A25F2C">
              <w:t>12.1</w:t>
            </w:r>
          </w:p>
        </w:tc>
      </w:tr>
      <w:tr w:rsidR="00EA2D5D" w:rsidRPr="00A25F2C" w14:paraId="7707D266" w14:textId="77777777" w:rsidTr="0086694E">
        <w:trPr>
          <w:cantSplit/>
        </w:trPr>
        <w:tc>
          <w:tcPr>
            <w:tcW w:w="1757" w:type="pct"/>
            <w:shd w:val="clear" w:color="auto" w:fill="F2F2F2" w:themeFill="background1" w:themeFillShade="F2"/>
          </w:tcPr>
          <w:p w14:paraId="60392A71" w14:textId="77777777" w:rsidR="007F4791" w:rsidRPr="00A25F2C" w:rsidRDefault="007F4791" w:rsidP="004E1FA1">
            <w:pPr>
              <w:pStyle w:val="TableBodyText"/>
            </w:pPr>
            <w:r w:rsidRPr="00A25F2C">
              <w:rPr>
                <w:b/>
              </w:rPr>
              <w:t>Total</w:t>
            </w:r>
          </w:p>
        </w:tc>
        <w:tc>
          <w:tcPr>
            <w:tcW w:w="651" w:type="pct"/>
            <w:shd w:val="clear" w:color="auto" w:fill="F2F2F2" w:themeFill="background1" w:themeFillShade="F2"/>
          </w:tcPr>
          <w:p w14:paraId="0C1E1742" w14:textId="77777777" w:rsidR="007F4791" w:rsidRPr="00A25F2C" w:rsidRDefault="007F4791" w:rsidP="00EA2D5D">
            <w:pPr>
              <w:pStyle w:val="TableBodyText"/>
              <w:jc w:val="right"/>
            </w:pPr>
            <w:r w:rsidRPr="00A25F2C">
              <w:rPr>
                <w:b/>
              </w:rPr>
              <w:t>1,861.1</w:t>
            </w:r>
          </w:p>
        </w:tc>
        <w:tc>
          <w:tcPr>
            <w:tcW w:w="542" w:type="pct"/>
            <w:shd w:val="clear" w:color="auto" w:fill="F2F2F2" w:themeFill="background1" w:themeFillShade="F2"/>
          </w:tcPr>
          <w:p w14:paraId="796EE928" w14:textId="77777777" w:rsidR="007F4791" w:rsidRPr="00A25F2C" w:rsidRDefault="007F4791" w:rsidP="00EA2D5D">
            <w:pPr>
              <w:pStyle w:val="TableBodyText"/>
              <w:jc w:val="right"/>
            </w:pPr>
            <w:r w:rsidRPr="00A25F2C">
              <w:rPr>
                <w:b/>
              </w:rPr>
              <w:t>2,007.3</w:t>
            </w:r>
          </w:p>
        </w:tc>
        <w:tc>
          <w:tcPr>
            <w:tcW w:w="514" w:type="pct"/>
            <w:shd w:val="clear" w:color="auto" w:fill="F2F2F2" w:themeFill="background1" w:themeFillShade="F2"/>
          </w:tcPr>
          <w:p w14:paraId="2EF3ADDA" w14:textId="77777777" w:rsidR="007F4791" w:rsidRPr="00A25F2C" w:rsidRDefault="007F4791" w:rsidP="00EA2D5D">
            <w:pPr>
              <w:pStyle w:val="TableBodyText"/>
              <w:jc w:val="right"/>
            </w:pPr>
            <w:r w:rsidRPr="00A25F2C">
              <w:rPr>
                <w:b/>
              </w:rPr>
              <w:t>2,134.1</w:t>
            </w:r>
          </w:p>
        </w:tc>
        <w:tc>
          <w:tcPr>
            <w:tcW w:w="506" w:type="pct"/>
            <w:shd w:val="clear" w:color="auto" w:fill="F2F2F2" w:themeFill="background1" w:themeFillShade="F2"/>
          </w:tcPr>
          <w:p w14:paraId="556143A9" w14:textId="77777777" w:rsidR="007F4791" w:rsidRPr="00A25F2C" w:rsidRDefault="007F4791" w:rsidP="00EA2D5D">
            <w:pPr>
              <w:pStyle w:val="TableBodyText"/>
              <w:jc w:val="right"/>
            </w:pPr>
            <w:r w:rsidRPr="00A25F2C">
              <w:rPr>
                <w:b/>
              </w:rPr>
              <w:t>2,222.9</w:t>
            </w:r>
          </w:p>
        </w:tc>
        <w:tc>
          <w:tcPr>
            <w:tcW w:w="506" w:type="pct"/>
            <w:shd w:val="clear" w:color="auto" w:fill="F2F2F2" w:themeFill="background1" w:themeFillShade="F2"/>
          </w:tcPr>
          <w:p w14:paraId="0F6D7E78" w14:textId="77777777" w:rsidR="007F4791" w:rsidRPr="00A25F2C" w:rsidRDefault="007F4791" w:rsidP="00EA2D5D">
            <w:pPr>
              <w:pStyle w:val="TableBodyText"/>
              <w:jc w:val="right"/>
            </w:pPr>
            <w:r w:rsidRPr="00A25F2C">
              <w:rPr>
                <w:b/>
              </w:rPr>
              <w:t>2,287.4</w:t>
            </w:r>
          </w:p>
        </w:tc>
        <w:tc>
          <w:tcPr>
            <w:tcW w:w="524" w:type="pct"/>
            <w:shd w:val="clear" w:color="auto" w:fill="F2F2F2" w:themeFill="background1" w:themeFillShade="F2"/>
          </w:tcPr>
          <w:p w14:paraId="76996D6C" w14:textId="77777777" w:rsidR="007F4791" w:rsidRPr="00A25F2C" w:rsidRDefault="007F4791" w:rsidP="00EA2D5D">
            <w:pPr>
              <w:pStyle w:val="TableBodyText"/>
              <w:jc w:val="right"/>
              <w:rPr>
                <w:b/>
              </w:rPr>
            </w:pPr>
            <w:r w:rsidRPr="00A25F2C">
              <w:rPr>
                <w:b/>
              </w:rPr>
              <w:t>2,346.1</w:t>
            </w:r>
          </w:p>
        </w:tc>
      </w:tr>
    </w:tbl>
    <w:p w14:paraId="19E28AFF" w14:textId="1016FDE0" w:rsidR="00143D6B" w:rsidRDefault="007F4791" w:rsidP="007F4791">
      <w:pPr>
        <w:pStyle w:val="BodyText"/>
      </w:pPr>
      <w:r w:rsidRPr="00A25F2C">
        <w:t>All tables subject to rounding</w:t>
      </w:r>
      <w:r w:rsidR="00EA2D5D">
        <w:t>.</w:t>
      </w:r>
    </w:p>
    <w:p w14:paraId="68E430A0" w14:textId="69C73253" w:rsidR="007F4791" w:rsidRPr="00A25F2C" w:rsidRDefault="007F4791" w:rsidP="008B27EB">
      <w:pPr>
        <w:pStyle w:val="BodyTextBold"/>
      </w:pPr>
      <w:r w:rsidRPr="00A25F2C">
        <w:t>Tariffs</w:t>
      </w:r>
    </w:p>
    <w:p w14:paraId="152A671C" w14:textId="10DB5728" w:rsidR="007F4791" w:rsidRPr="00A25F2C" w:rsidRDefault="007F4791" w:rsidP="007F4791">
      <w:pPr>
        <w:pStyle w:val="BodyText"/>
      </w:pPr>
      <w:r w:rsidRPr="00A25F2C">
        <w:t xml:space="preserve">Tariffs for 2023-24 are based on the current </w:t>
      </w:r>
      <w:r w:rsidR="001D7561">
        <w:t>Essential Services Commission</w:t>
      </w:r>
      <w:r w:rsidRPr="00A25F2C">
        <w:t xml:space="preserve"> 2021 Determination price path adjusted for CPI and the Weighted Average Cost of Capital. The </w:t>
      </w:r>
      <w:r w:rsidR="001D7561">
        <w:t>Essential Services Commission</w:t>
      </w:r>
      <w:r w:rsidRPr="00A25F2C">
        <w:t>’s building block methodology has been used to forecast Melbourne Water’s total revenue requirement. The revenue is recovered through a combination of fixed and variable prices.</w:t>
      </w:r>
    </w:p>
    <w:p w14:paraId="16C24FC0" w14:textId="77777777" w:rsidR="007F4791" w:rsidRPr="00A25F2C" w:rsidRDefault="007F4791" w:rsidP="008B27EB">
      <w:pPr>
        <w:pStyle w:val="BodyTextBold"/>
      </w:pPr>
      <w:r w:rsidRPr="00A25F2C">
        <w:t>Bulk water and sewerage demand</w:t>
      </w:r>
    </w:p>
    <w:p w14:paraId="377A4387" w14:textId="77777777" w:rsidR="007F4791" w:rsidRPr="00A25F2C" w:rsidRDefault="007F4791" w:rsidP="007F4791">
      <w:pPr>
        <w:pStyle w:val="BodyText"/>
      </w:pPr>
      <w:r w:rsidRPr="00A25F2C">
        <w:t>Underlying water and sewerage demand growth is about 1 per cent per annum over the 2023-24 to 2027-28 planning period. Future desalinated water orders of 0 gigalitres (GL) in 2023-24, 50 GL in 2024-25 and 75 GL for 2025-26 to 2027-28 are forecast in the plan. Desalinated water costs are passed on to our metropolitan retailer customers directly, with annual revenue generated by water orders matching expenditure. Desalinated water is a key component in ensuring long-term water security.</w:t>
      </w:r>
    </w:p>
    <w:p w14:paraId="687D7685" w14:textId="77777777" w:rsidR="007F4791" w:rsidRPr="00A25F2C" w:rsidRDefault="007F4791" w:rsidP="007D0BE0">
      <w:pPr>
        <w:pStyle w:val="BodyTextBold"/>
        <w:keepNext/>
      </w:pPr>
      <w:r w:rsidRPr="00A25F2C">
        <w:t>Waterways and drainage customers</w:t>
      </w:r>
    </w:p>
    <w:p w14:paraId="3038BC69" w14:textId="77777777" w:rsidR="007F4791" w:rsidRPr="00A25F2C" w:rsidRDefault="007F4791" w:rsidP="007F4791">
      <w:pPr>
        <w:pStyle w:val="BodyText"/>
      </w:pPr>
      <w:r w:rsidRPr="00A25F2C">
        <w:t>Growth in the number of drainage customers is expected to be an average 1.9 per cent per annum over the 2023-24 to 2027-28 planning period, reflecting ongoing growth in housing and land development across the region translating into additional customers.</w:t>
      </w:r>
    </w:p>
    <w:p w14:paraId="0BA0D7CC" w14:textId="77777777" w:rsidR="007F4791" w:rsidRPr="00A25F2C" w:rsidRDefault="007F4791" w:rsidP="008B27EB">
      <w:pPr>
        <w:pStyle w:val="BodyTextBold"/>
      </w:pPr>
      <w:r w:rsidRPr="00A25F2C">
        <w:lastRenderedPageBreak/>
        <w:t>Developers</w:t>
      </w:r>
    </w:p>
    <w:p w14:paraId="76072B77" w14:textId="77777777" w:rsidR="00143D6B" w:rsidRDefault="007F4791" w:rsidP="007F4791">
      <w:pPr>
        <w:pStyle w:val="BodyText"/>
      </w:pPr>
      <w:r w:rsidRPr="00A25F2C">
        <w:t>Developer contribution revenue is expected to be $963 million over the 2023-24 to 2027-28 planning period. This is driven by a forecast steady increase in land development activity.</w:t>
      </w:r>
    </w:p>
    <w:p w14:paraId="1307E9F3" w14:textId="48761B6E" w:rsidR="007F4791" w:rsidRPr="00A25F2C" w:rsidRDefault="007F4791" w:rsidP="008B27EB">
      <w:pPr>
        <w:pStyle w:val="Heading2"/>
      </w:pPr>
      <w:bookmarkStart w:id="54" w:name="_Toc147756902"/>
      <w:r w:rsidRPr="00A25F2C">
        <w:t>Operating Expenditure</w:t>
      </w:r>
      <w:bookmarkEnd w:id="54"/>
    </w:p>
    <w:p w14:paraId="31A6C740" w14:textId="77777777" w:rsidR="007F4791" w:rsidRPr="00A25F2C" w:rsidRDefault="007F4791" w:rsidP="007F4791">
      <w:pPr>
        <w:pStyle w:val="BodyText"/>
      </w:pPr>
      <w:r w:rsidRPr="00A25F2C">
        <w:t>Melbourne Water’s direct operating expenditure is expected to be $3839.7 million over the 2023-24 to 2027-28 planning period. Operating expenditure consists of the expenses required to operate and maintain the water network (including the Victorian Desalination Plant), sewerage treatment services and waterways and drainage services.</w:t>
      </w:r>
    </w:p>
    <w:p w14:paraId="6636B006" w14:textId="77777777" w:rsidR="007F4791" w:rsidRPr="00A25F2C" w:rsidRDefault="007F4791" w:rsidP="007F4791">
      <w:pPr>
        <w:pStyle w:val="BodyText"/>
      </w:pPr>
      <w:r w:rsidRPr="00A25F2C">
        <w:t>Continuous improvement drives innovation and excellence at Melbourne Water, producing business and operational efficiencies. Identified efficiencies are routinely incorporated into our forward forecasts and continue to be a key area of focus for our business.</w:t>
      </w:r>
    </w:p>
    <w:p w14:paraId="5B0BC4D9" w14:textId="77777777" w:rsidR="007F4791" w:rsidRPr="00A25F2C" w:rsidRDefault="007F4791" w:rsidP="007F4791">
      <w:pPr>
        <w:pStyle w:val="BodyText"/>
      </w:pPr>
      <w:r w:rsidRPr="00A25F2C">
        <w:t>A detailed breakdown of operating expenditure is provided in the Appendices.</w:t>
      </w:r>
    </w:p>
    <w:p w14:paraId="6D8B9D88" w14:textId="77777777" w:rsidR="007F4791" w:rsidRPr="00A25F2C" w:rsidRDefault="007F4791" w:rsidP="008B27EB">
      <w:pPr>
        <w:pStyle w:val="Caption"/>
      </w:pPr>
      <w:r w:rsidRPr="00A25F2C">
        <w:t>Melbourne Water forecast direct operating expenses for 2022-23 to 2026-27</w:t>
      </w:r>
    </w:p>
    <w:p w14:paraId="3F4D9085" w14:textId="307AB3AB" w:rsidR="007F4791" w:rsidRPr="00A25F2C" w:rsidRDefault="0097448D" w:rsidP="007F4791">
      <w:pPr>
        <w:pStyle w:val="BodyText"/>
        <w:rPr>
          <w:b/>
        </w:rPr>
      </w:pPr>
      <w:r>
        <w:rPr>
          <w:b/>
          <w:noProof/>
        </w:rPr>
        <w:drawing>
          <wp:inline distT="0" distB="0" distL="0" distR="0" wp14:anchorId="467FCB37" wp14:editId="3505E4CF">
            <wp:extent cx="6097524" cy="3084576"/>
            <wp:effectExtent l="0" t="0" r="0" b="1905"/>
            <wp:docPr id="30" name="Picture 30" descr="A graph showing the Melbourne Water forecast direct operating expenses for 2022-23 to 2026-27. Refer to data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graph showing the Melbourne Water forecast direct operating expenses for 2022-23 to 2026-27. Refer to data table below."/>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97524" cy="3084576"/>
                    </a:xfrm>
                    <a:prstGeom prst="rect">
                      <a:avLst/>
                    </a:prstGeom>
                  </pic:spPr>
                </pic:pic>
              </a:graphicData>
            </a:graphic>
          </wp:inline>
        </w:drawing>
      </w:r>
    </w:p>
    <w:tbl>
      <w:tblPr>
        <w:tblStyle w:val="TableProfessional"/>
        <w:tblW w:w="5000" w:type="pct"/>
        <w:tblLook w:val="0620" w:firstRow="1" w:lastRow="0" w:firstColumn="0" w:lastColumn="0" w:noHBand="1" w:noVBand="1"/>
      </w:tblPr>
      <w:tblGrid>
        <w:gridCol w:w="3378"/>
        <w:gridCol w:w="1256"/>
        <w:gridCol w:w="1044"/>
        <w:gridCol w:w="990"/>
        <w:gridCol w:w="975"/>
        <w:gridCol w:w="977"/>
        <w:gridCol w:w="1011"/>
      </w:tblGrid>
      <w:tr w:rsidR="007F4791" w:rsidRPr="00A25F2C" w14:paraId="08150BAE" w14:textId="77777777" w:rsidTr="00D83413">
        <w:trPr>
          <w:cnfStyle w:val="100000000000" w:firstRow="1" w:lastRow="0" w:firstColumn="0" w:lastColumn="0" w:oddVBand="0" w:evenVBand="0" w:oddHBand="0" w:evenHBand="0" w:firstRowFirstColumn="0" w:firstRowLastColumn="0" w:lastRowFirstColumn="0" w:lastRowLastColumn="0"/>
        </w:trPr>
        <w:tc>
          <w:tcPr>
            <w:tcW w:w="1753" w:type="pct"/>
          </w:tcPr>
          <w:p w14:paraId="1DAE0713" w14:textId="0AD382DD" w:rsidR="007F4791" w:rsidRPr="00A25F2C" w:rsidRDefault="007F4791" w:rsidP="004E1FA1">
            <w:pPr>
              <w:pStyle w:val="TableBodyText"/>
            </w:pPr>
            <w:r w:rsidRPr="00A25F2C">
              <w:t>Direct Operating Expenses (</w:t>
            </w:r>
            <w:r w:rsidR="00E65500">
              <w:t>$ million</w:t>
            </w:r>
            <w:r w:rsidRPr="00A25F2C">
              <w:t>)</w:t>
            </w:r>
          </w:p>
        </w:tc>
        <w:tc>
          <w:tcPr>
            <w:tcW w:w="652" w:type="pct"/>
          </w:tcPr>
          <w:p w14:paraId="385225B1" w14:textId="77777777" w:rsidR="007F4791" w:rsidRPr="00A25F2C" w:rsidRDefault="007F4791" w:rsidP="004E1FA1">
            <w:pPr>
              <w:pStyle w:val="TableBodyText"/>
            </w:pPr>
            <w:r w:rsidRPr="00A25F2C">
              <w:t>2022-23</w:t>
            </w:r>
          </w:p>
          <w:p w14:paraId="427CBD36" w14:textId="77777777" w:rsidR="007F4791" w:rsidRPr="00A25F2C" w:rsidRDefault="007F4791" w:rsidP="004E1FA1">
            <w:pPr>
              <w:pStyle w:val="TableBodyText"/>
            </w:pPr>
            <w:r w:rsidRPr="00A25F2C">
              <w:t>Forecast</w:t>
            </w:r>
          </w:p>
        </w:tc>
        <w:tc>
          <w:tcPr>
            <w:tcW w:w="542" w:type="pct"/>
          </w:tcPr>
          <w:p w14:paraId="46738627" w14:textId="77777777" w:rsidR="007F4791" w:rsidRPr="00A25F2C" w:rsidRDefault="007F4791" w:rsidP="004E1FA1">
            <w:pPr>
              <w:pStyle w:val="TableBodyText"/>
            </w:pPr>
            <w:r w:rsidRPr="00A25F2C">
              <w:t>2023-24</w:t>
            </w:r>
          </w:p>
        </w:tc>
        <w:tc>
          <w:tcPr>
            <w:tcW w:w="514" w:type="pct"/>
          </w:tcPr>
          <w:p w14:paraId="58EE4F39" w14:textId="77777777" w:rsidR="007F4791" w:rsidRPr="00A25F2C" w:rsidRDefault="007F4791" w:rsidP="004E1FA1">
            <w:pPr>
              <w:pStyle w:val="TableBodyText"/>
            </w:pPr>
            <w:r w:rsidRPr="00A25F2C">
              <w:t>2024-25</w:t>
            </w:r>
          </w:p>
        </w:tc>
        <w:tc>
          <w:tcPr>
            <w:tcW w:w="506" w:type="pct"/>
          </w:tcPr>
          <w:p w14:paraId="49621B5E" w14:textId="77777777" w:rsidR="007F4791" w:rsidRPr="00A25F2C" w:rsidRDefault="007F4791" w:rsidP="004E1FA1">
            <w:pPr>
              <w:pStyle w:val="TableBodyText"/>
            </w:pPr>
            <w:r w:rsidRPr="00A25F2C">
              <w:t>2025-26</w:t>
            </w:r>
          </w:p>
        </w:tc>
        <w:tc>
          <w:tcPr>
            <w:tcW w:w="507" w:type="pct"/>
          </w:tcPr>
          <w:p w14:paraId="53C0C0EF" w14:textId="77777777" w:rsidR="007F4791" w:rsidRPr="00A25F2C" w:rsidRDefault="007F4791" w:rsidP="004E1FA1">
            <w:pPr>
              <w:pStyle w:val="TableBodyText"/>
            </w:pPr>
            <w:r w:rsidRPr="00A25F2C">
              <w:t>2026-27</w:t>
            </w:r>
          </w:p>
        </w:tc>
        <w:tc>
          <w:tcPr>
            <w:tcW w:w="525" w:type="pct"/>
          </w:tcPr>
          <w:p w14:paraId="24B67E39" w14:textId="77777777" w:rsidR="007F4791" w:rsidRPr="00A25F2C" w:rsidRDefault="007F4791" w:rsidP="004E1FA1">
            <w:pPr>
              <w:pStyle w:val="TableBodyText"/>
            </w:pPr>
            <w:r w:rsidRPr="00A25F2C">
              <w:t>2027-28</w:t>
            </w:r>
          </w:p>
        </w:tc>
      </w:tr>
      <w:tr w:rsidR="007F4791" w:rsidRPr="00A25F2C" w14:paraId="686AD1C3" w14:textId="77777777" w:rsidTr="00D83413">
        <w:tc>
          <w:tcPr>
            <w:tcW w:w="1753" w:type="pct"/>
          </w:tcPr>
          <w:p w14:paraId="2A6DC3D1" w14:textId="77777777" w:rsidR="007F4791" w:rsidRPr="00A25F2C" w:rsidRDefault="007F4791" w:rsidP="004E1FA1">
            <w:pPr>
              <w:pStyle w:val="TableBodyText"/>
            </w:pPr>
            <w:r w:rsidRPr="00A25F2C">
              <w:t>Water</w:t>
            </w:r>
          </w:p>
        </w:tc>
        <w:tc>
          <w:tcPr>
            <w:tcW w:w="652" w:type="pct"/>
          </w:tcPr>
          <w:p w14:paraId="4FFDE5D8" w14:textId="77777777" w:rsidR="007F4791" w:rsidRPr="00A25F2C" w:rsidRDefault="007F4791" w:rsidP="004E1FA1">
            <w:pPr>
              <w:pStyle w:val="TableBodyText"/>
            </w:pPr>
            <w:r w:rsidRPr="00A25F2C">
              <w:t>232.6</w:t>
            </w:r>
          </w:p>
        </w:tc>
        <w:tc>
          <w:tcPr>
            <w:tcW w:w="542" w:type="pct"/>
          </w:tcPr>
          <w:p w14:paraId="5A675CCB" w14:textId="77777777" w:rsidR="007F4791" w:rsidRPr="00A25F2C" w:rsidRDefault="007F4791" w:rsidP="004E1FA1">
            <w:pPr>
              <w:pStyle w:val="TableBodyText"/>
            </w:pPr>
            <w:r w:rsidRPr="00A25F2C">
              <w:t>265.2</w:t>
            </w:r>
          </w:p>
        </w:tc>
        <w:tc>
          <w:tcPr>
            <w:tcW w:w="514" w:type="pct"/>
          </w:tcPr>
          <w:p w14:paraId="4A5FC2F8" w14:textId="77777777" w:rsidR="007F4791" w:rsidRPr="00A25F2C" w:rsidRDefault="007F4791" w:rsidP="004E1FA1">
            <w:pPr>
              <w:pStyle w:val="TableBodyText"/>
            </w:pPr>
            <w:r w:rsidRPr="00A25F2C">
              <w:t>351.1</w:t>
            </w:r>
          </w:p>
        </w:tc>
        <w:tc>
          <w:tcPr>
            <w:tcW w:w="506" w:type="pct"/>
          </w:tcPr>
          <w:p w14:paraId="56C77B29" w14:textId="77777777" w:rsidR="007F4791" w:rsidRPr="00A25F2C" w:rsidRDefault="007F4791" w:rsidP="004E1FA1">
            <w:pPr>
              <w:pStyle w:val="TableBodyText"/>
            </w:pPr>
            <w:r w:rsidRPr="00A25F2C">
              <w:t>313.6</w:t>
            </w:r>
          </w:p>
        </w:tc>
        <w:tc>
          <w:tcPr>
            <w:tcW w:w="507" w:type="pct"/>
          </w:tcPr>
          <w:p w14:paraId="3DCCB048" w14:textId="77777777" w:rsidR="007F4791" w:rsidRPr="00A25F2C" w:rsidRDefault="007F4791" w:rsidP="004E1FA1">
            <w:pPr>
              <w:pStyle w:val="TableBodyText"/>
            </w:pPr>
            <w:r w:rsidRPr="00A25F2C">
              <w:t>325.8</w:t>
            </w:r>
          </w:p>
        </w:tc>
        <w:tc>
          <w:tcPr>
            <w:tcW w:w="525" w:type="pct"/>
          </w:tcPr>
          <w:p w14:paraId="70939292" w14:textId="77777777" w:rsidR="007F4791" w:rsidRPr="00A25F2C" w:rsidRDefault="007F4791" w:rsidP="004E1FA1">
            <w:pPr>
              <w:pStyle w:val="TableBodyText"/>
            </w:pPr>
            <w:r w:rsidRPr="00A25F2C">
              <w:t>339.6</w:t>
            </w:r>
          </w:p>
        </w:tc>
      </w:tr>
      <w:tr w:rsidR="007F4791" w:rsidRPr="00A25F2C" w14:paraId="7847E9F7" w14:textId="77777777" w:rsidTr="00D83413">
        <w:tc>
          <w:tcPr>
            <w:tcW w:w="1753" w:type="pct"/>
          </w:tcPr>
          <w:p w14:paraId="64FE273D" w14:textId="77777777" w:rsidR="007F4791" w:rsidRPr="00A25F2C" w:rsidRDefault="007F4791" w:rsidP="004E1FA1">
            <w:pPr>
              <w:pStyle w:val="TableBodyText"/>
            </w:pPr>
            <w:r w:rsidRPr="00A25F2C">
              <w:t>Sewerage</w:t>
            </w:r>
          </w:p>
        </w:tc>
        <w:tc>
          <w:tcPr>
            <w:tcW w:w="652" w:type="pct"/>
          </w:tcPr>
          <w:p w14:paraId="0534439A" w14:textId="77777777" w:rsidR="007F4791" w:rsidRPr="00A25F2C" w:rsidRDefault="007F4791" w:rsidP="004E1FA1">
            <w:pPr>
              <w:pStyle w:val="TableBodyText"/>
            </w:pPr>
            <w:r w:rsidRPr="00A25F2C">
              <w:t>124.0</w:t>
            </w:r>
          </w:p>
        </w:tc>
        <w:tc>
          <w:tcPr>
            <w:tcW w:w="542" w:type="pct"/>
          </w:tcPr>
          <w:p w14:paraId="411228C3" w14:textId="77777777" w:rsidR="007F4791" w:rsidRPr="00A25F2C" w:rsidRDefault="007F4791" w:rsidP="004E1FA1">
            <w:pPr>
              <w:pStyle w:val="TableBodyText"/>
            </w:pPr>
            <w:r w:rsidRPr="00A25F2C">
              <w:t>147.3</w:t>
            </w:r>
          </w:p>
        </w:tc>
        <w:tc>
          <w:tcPr>
            <w:tcW w:w="514" w:type="pct"/>
          </w:tcPr>
          <w:p w14:paraId="70B2950E" w14:textId="77777777" w:rsidR="007F4791" w:rsidRPr="00A25F2C" w:rsidRDefault="007F4791" w:rsidP="004E1FA1">
            <w:pPr>
              <w:pStyle w:val="TableBodyText"/>
            </w:pPr>
            <w:r w:rsidRPr="00A25F2C">
              <w:t>163.8</w:t>
            </w:r>
          </w:p>
        </w:tc>
        <w:tc>
          <w:tcPr>
            <w:tcW w:w="506" w:type="pct"/>
          </w:tcPr>
          <w:p w14:paraId="0E0D4096" w14:textId="77777777" w:rsidR="007F4791" w:rsidRPr="00A25F2C" w:rsidRDefault="007F4791" w:rsidP="004E1FA1">
            <w:pPr>
              <w:pStyle w:val="TableBodyText"/>
            </w:pPr>
            <w:r w:rsidRPr="00A25F2C">
              <w:t>162.6</w:t>
            </w:r>
          </w:p>
        </w:tc>
        <w:tc>
          <w:tcPr>
            <w:tcW w:w="507" w:type="pct"/>
          </w:tcPr>
          <w:p w14:paraId="2D736FC5" w14:textId="77777777" w:rsidR="007F4791" w:rsidRPr="00A25F2C" w:rsidRDefault="007F4791" w:rsidP="004E1FA1">
            <w:pPr>
              <w:pStyle w:val="TableBodyText"/>
            </w:pPr>
            <w:r w:rsidRPr="00A25F2C">
              <w:t>154.3</w:t>
            </w:r>
          </w:p>
        </w:tc>
        <w:tc>
          <w:tcPr>
            <w:tcW w:w="525" w:type="pct"/>
          </w:tcPr>
          <w:p w14:paraId="409391A9" w14:textId="77777777" w:rsidR="007F4791" w:rsidRPr="00A25F2C" w:rsidRDefault="007F4791" w:rsidP="004E1FA1">
            <w:pPr>
              <w:pStyle w:val="TableBodyText"/>
            </w:pPr>
            <w:r w:rsidRPr="00A25F2C">
              <w:t>159.0</w:t>
            </w:r>
          </w:p>
        </w:tc>
      </w:tr>
      <w:tr w:rsidR="007F4791" w:rsidRPr="00A25F2C" w14:paraId="1AD468B0" w14:textId="77777777" w:rsidTr="00D83413">
        <w:tc>
          <w:tcPr>
            <w:tcW w:w="1753" w:type="pct"/>
          </w:tcPr>
          <w:p w14:paraId="79E7A64F" w14:textId="77777777" w:rsidR="007F4791" w:rsidRPr="00A25F2C" w:rsidRDefault="007F4791" w:rsidP="004E1FA1">
            <w:pPr>
              <w:pStyle w:val="TableBodyText"/>
            </w:pPr>
            <w:r w:rsidRPr="00A25F2C">
              <w:t>Waterways &amp; Drainage</w:t>
            </w:r>
          </w:p>
        </w:tc>
        <w:tc>
          <w:tcPr>
            <w:tcW w:w="652" w:type="pct"/>
          </w:tcPr>
          <w:p w14:paraId="46E40F06" w14:textId="77777777" w:rsidR="007F4791" w:rsidRPr="00A25F2C" w:rsidRDefault="007F4791" w:rsidP="004E1FA1">
            <w:pPr>
              <w:pStyle w:val="TableBodyText"/>
            </w:pPr>
            <w:r w:rsidRPr="00A25F2C">
              <w:t>118.5</w:t>
            </w:r>
          </w:p>
        </w:tc>
        <w:tc>
          <w:tcPr>
            <w:tcW w:w="542" w:type="pct"/>
          </w:tcPr>
          <w:p w14:paraId="3621296E" w14:textId="77777777" w:rsidR="007F4791" w:rsidRPr="00A25F2C" w:rsidRDefault="007F4791" w:rsidP="004E1FA1">
            <w:pPr>
              <w:pStyle w:val="TableBodyText"/>
            </w:pPr>
            <w:r w:rsidRPr="00A25F2C">
              <w:t>127.3</w:t>
            </w:r>
          </w:p>
        </w:tc>
        <w:tc>
          <w:tcPr>
            <w:tcW w:w="514" w:type="pct"/>
          </w:tcPr>
          <w:p w14:paraId="313F290B" w14:textId="77777777" w:rsidR="007F4791" w:rsidRPr="00A25F2C" w:rsidRDefault="007F4791" w:rsidP="004E1FA1">
            <w:pPr>
              <w:pStyle w:val="TableBodyText"/>
            </w:pPr>
            <w:r w:rsidRPr="00A25F2C">
              <w:t>131.3</w:t>
            </w:r>
          </w:p>
        </w:tc>
        <w:tc>
          <w:tcPr>
            <w:tcW w:w="506" w:type="pct"/>
          </w:tcPr>
          <w:p w14:paraId="5F165ACB" w14:textId="77777777" w:rsidR="007F4791" w:rsidRPr="00A25F2C" w:rsidRDefault="007F4791" w:rsidP="004E1FA1">
            <w:pPr>
              <w:pStyle w:val="TableBodyText"/>
            </w:pPr>
            <w:r w:rsidRPr="00A25F2C">
              <w:t>135.4</w:t>
            </w:r>
          </w:p>
        </w:tc>
        <w:tc>
          <w:tcPr>
            <w:tcW w:w="507" w:type="pct"/>
          </w:tcPr>
          <w:p w14:paraId="77A608BE" w14:textId="77777777" w:rsidR="007F4791" w:rsidRPr="00A25F2C" w:rsidRDefault="007F4791" w:rsidP="004E1FA1">
            <w:pPr>
              <w:pStyle w:val="TableBodyText"/>
            </w:pPr>
            <w:r w:rsidRPr="00A25F2C">
              <w:t>139.0</w:t>
            </w:r>
          </w:p>
        </w:tc>
        <w:tc>
          <w:tcPr>
            <w:tcW w:w="525" w:type="pct"/>
          </w:tcPr>
          <w:p w14:paraId="37AA498D" w14:textId="77777777" w:rsidR="007F4791" w:rsidRPr="00A25F2C" w:rsidRDefault="007F4791" w:rsidP="004E1FA1">
            <w:pPr>
              <w:pStyle w:val="TableBodyText"/>
            </w:pPr>
            <w:r w:rsidRPr="00A25F2C">
              <w:t>143.0</w:t>
            </w:r>
          </w:p>
        </w:tc>
      </w:tr>
      <w:tr w:rsidR="007F4791" w:rsidRPr="00A25F2C" w14:paraId="3AA19159" w14:textId="77777777" w:rsidTr="00D83413">
        <w:tc>
          <w:tcPr>
            <w:tcW w:w="1753" w:type="pct"/>
          </w:tcPr>
          <w:p w14:paraId="61C0DFD5" w14:textId="77777777" w:rsidR="007F4791" w:rsidRPr="00A25F2C" w:rsidRDefault="007F4791" w:rsidP="004E1FA1">
            <w:pPr>
              <w:pStyle w:val="TableBodyText"/>
            </w:pPr>
            <w:r w:rsidRPr="00A25F2C">
              <w:t>Recycled Water</w:t>
            </w:r>
          </w:p>
        </w:tc>
        <w:tc>
          <w:tcPr>
            <w:tcW w:w="652" w:type="pct"/>
          </w:tcPr>
          <w:p w14:paraId="3F57DB8D" w14:textId="77777777" w:rsidR="007F4791" w:rsidRPr="00A25F2C" w:rsidRDefault="007F4791" w:rsidP="004E1FA1">
            <w:pPr>
              <w:pStyle w:val="TableBodyText"/>
            </w:pPr>
            <w:r w:rsidRPr="00A25F2C">
              <w:t>1.9</w:t>
            </w:r>
          </w:p>
        </w:tc>
        <w:tc>
          <w:tcPr>
            <w:tcW w:w="542" w:type="pct"/>
          </w:tcPr>
          <w:p w14:paraId="288E7CA7" w14:textId="77777777" w:rsidR="007F4791" w:rsidRPr="00A25F2C" w:rsidRDefault="007F4791" w:rsidP="004E1FA1">
            <w:pPr>
              <w:pStyle w:val="TableBodyText"/>
            </w:pPr>
            <w:r w:rsidRPr="00A25F2C">
              <w:t>2.9</w:t>
            </w:r>
          </w:p>
        </w:tc>
        <w:tc>
          <w:tcPr>
            <w:tcW w:w="514" w:type="pct"/>
          </w:tcPr>
          <w:p w14:paraId="7D50D0A1" w14:textId="77777777" w:rsidR="007F4791" w:rsidRPr="00A25F2C" w:rsidRDefault="007F4791" w:rsidP="004E1FA1">
            <w:pPr>
              <w:pStyle w:val="TableBodyText"/>
            </w:pPr>
            <w:r w:rsidRPr="00A25F2C">
              <w:t>2.9</w:t>
            </w:r>
          </w:p>
        </w:tc>
        <w:tc>
          <w:tcPr>
            <w:tcW w:w="506" w:type="pct"/>
          </w:tcPr>
          <w:p w14:paraId="2060B903" w14:textId="77777777" w:rsidR="007F4791" w:rsidRPr="00A25F2C" w:rsidRDefault="007F4791" w:rsidP="004E1FA1">
            <w:pPr>
              <w:pStyle w:val="TableBodyText"/>
            </w:pPr>
            <w:r w:rsidRPr="00A25F2C">
              <w:t>3.0</w:t>
            </w:r>
          </w:p>
        </w:tc>
        <w:tc>
          <w:tcPr>
            <w:tcW w:w="507" w:type="pct"/>
          </w:tcPr>
          <w:p w14:paraId="39A659C5" w14:textId="77777777" w:rsidR="007F4791" w:rsidRPr="00A25F2C" w:rsidRDefault="007F4791" w:rsidP="004E1FA1">
            <w:pPr>
              <w:pStyle w:val="TableBodyText"/>
            </w:pPr>
            <w:r w:rsidRPr="00A25F2C">
              <w:t>3.1</w:t>
            </w:r>
          </w:p>
        </w:tc>
        <w:tc>
          <w:tcPr>
            <w:tcW w:w="525" w:type="pct"/>
          </w:tcPr>
          <w:p w14:paraId="3DCE9E74" w14:textId="77777777" w:rsidR="007F4791" w:rsidRPr="00A25F2C" w:rsidRDefault="007F4791" w:rsidP="004E1FA1">
            <w:pPr>
              <w:pStyle w:val="TableBodyText"/>
            </w:pPr>
            <w:r w:rsidRPr="00A25F2C">
              <w:t>3.1</w:t>
            </w:r>
          </w:p>
        </w:tc>
      </w:tr>
      <w:tr w:rsidR="007F4791" w:rsidRPr="00A25F2C" w14:paraId="43112429" w14:textId="77777777" w:rsidTr="00D83413">
        <w:tc>
          <w:tcPr>
            <w:tcW w:w="1753" w:type="pct"/>
          </w:tcPr>
          <w:p w14:paraId="6351C890" w14:textId="77777777" w:rsidR="007F4791" w:rsidRPr="00A25F2C" w:rsidRDefault="007F4791" w:rsidP="004E1FA1">
            <w:pPr>
              <w:pStyle w:val="TableBodyText"/>
            </w:pPr>
            <w:r w:rsidRPr="00A25F2C">
              <w:t>Corporate</w:t>
            </w:r>
          </w:p>
        </w:tc>
        <w:tc>
          <w:tcPr>
            <w:tcW w:w="652" w:type="pct"/>
          </w:tcPr>
          <w:p w14:paraId="53883638" w14:textId="77777777" w:rsidR="007F4791" w:rsidRPr="00A25F2C" w:rsidRDefault="007F4791" w:rsidP="004E1FA1">
            <w:pPr>
              <w:pStyle w:val="TableBodyText"/>
            </w:pPr>
            <w:r w:rsidRPr="00A25F2C">
              <w:t>145.0</w:t>
            </w:r>
          </w:p>
        </w:tc>
        <w:tc>
          <w:tcPr>
            <w:tcW w:w="542" w:type="pct"/>
          </w:tcPr>
          <w:p w14:paraId="2B94F07D" w14:textId="77777777" w:rsidR="007F4791" w:rsidRPr="00A25F2C" w:rsidRDefault="007F4791" w:rsidP="004E1FA1">
            <w:pPr>
              <w:pStyle w:val="TableBodyText"/>
            </w:pPr>
            <w:r w:rsidRPr="00A25F2C">
              <w:t>145.1</w:t>
            </w:r>
          </w:p>
        </w:tc>
        <w:tc>
          <w:tcPr>
            <w:tcW w:w="514" w:type="pct"/>
          </w:tcPr>
          <w:p w14:paraId="0BDAC5B4" w14:textId="77777777" w:rsidR="007F4791" w:rsidRPr="00A25F2C" w:rsidRDefault="007F4791" w:rsidP="004E1FA1">
            <w:pPr>
              <w:pStyle w:val="TableBodyText"/>
            </w:pPr>
            <w:r w:rsidRPr="00A25F2C">
              <w:t>148.7</w:t>
            </w:r>
          </w:p>
        </w:tc>
        <w:tc>
          <w:tcPr>
            <w:tcW w:w="506" w:type="pct"/>
          </w:tcPr>
          <w:p w14:paraId="62DF3925" w14:textId="77777777" w:rsidR="007F4791" w:rsidRPr="00A25F2C" w:rsidRDefault="007F4791" w:rsidP="004E1FA1">
            <w:pPr>
              <w:pStyle w:val="TableBodyText"/>
            </w:pPr>
            <w:r w:rsidRPr="00A25F2C">
              <w:t>153.2</w:t>
            </w:r>
          </w:p>
        </w:tc>
        <w:tc>
          <w:tcPr>
            <w:tcW w:w="507" w:type="pct"/>
          </w:tcPr>
          <w:p w14:paraId="28A02778" w14:textId="77777777" w:rsidR="007F4791" w:rsidRPr="00A25F2C" w:rsidRDefault="007F4791" w:rsidP="004E1FA1">
            <w:pPr>
              <w:pStyle w:val="TableBodyText"/>
            </w:pPr>
            <w:r w:rsidRPr="00A25F2C">
              <w:t>157.6</w:t>
            </w:r>
          </w:p>
        </w:tc>
        <w:tc>
          <w:tcPr>
            <w:tcW w:w="525" w:type="pct"/>
          </w:tcPr>
          <w:p w14:paraId="2316F712" w14:textId="77777777" w:rsidR="007F4791" w:rsidRPr="00A25F2C" w:rsidRDefault="007F4791" w:rsidP="004E1FA1">
            <w:pPr>
              <w:pStyle w:val="TableBodyText"/>
            </w:pPr>
            <w:r w:rsidRPr="00A25F2C">
              <w:t>161.8</w:t>
            </w:r>
          </w:p>
        </w:tc>
      </w:tr>
      <w:tr w:rsidR="007F4791" w:rsidRPr="00A25F2C" w14:paraId="15DB9A64" w14:textId="77777777" w:rsidTr="00D83413">
        <w:tc>
          <w:tcPr>
            <w:tcW w:w="1753" w:type="pct"/>
          </w:tcPr>
          <w:p w14:paraId="03A522B3" w14:textId="77777777" w:rsidR="007F4791" w:rsidRPr="00A25F2C" w:rsidRDefault="007F4791" w:rsidP="004E1FA1">
            <w:pPr>
              <w:pStyle w:val="TableBodyText"/>
            </w:pPr>
            <w:r w:rsidRPr="00A25F2C">
              <w:rPr>
                <w:b/>
              </w:rPr>
              <w:t>Total</w:t>
            </w:r>
          </w:p>
        </w:tc>
        <w:tc>
          <w:tcPr>
            <w:tcW w:w="652" w:type="pct"/>
          </w:tcPr>
          <w:p w14:paraId="7130CC6B" w14:textId="77777777" w:rsidR="007F4791" w:rsidRPr="00A25F2C" w:rsidRDefault="007F4791" w:rsidP="004E1FA1">
            <w:pPr>
              <w:pStyle w:val="TableBodyText"/>
            </w:pPr>
            <w:r w:rsidRPr="00A25F2C">
              <w:rPr>
                <w:b/>
              </w:rPr>
              <w:t>622.0</w:t>
            </w:r>
          </w:p>
        </w:tc>
        <w:tc>
          <w:tcPr>
            <w:tcW w:w="542" w:type="pct"/>
          </w:tcPr>
          <w:p w14:paraId="781F2931" w14:textId="77777777" w:rsidR="007F4791" w:rsidRPr="00A25F2C" w:rsidRDefault="007F4791" w:rsidP="004E1FA1">
            <w:pPr>
              <w:pStyle w:val="TableBodyText"/>
            </w:pPr>
            <w:r w:rsidRPr="00A25F2C">
              <w:rPr>
                <w:b/>
              </w:rPr>
              <w:t>687.8</w:t>
            </w:r>
          </w:p>
        </w:tc>
        <w:tc>
          <w:tcPr>
            <w:tcW w:w="514" w:type="pct"/>
          </w:tcPr>
          <w:p w14:paraId="5E7C349C" w14:textId="77777777" w:rsidR="007F4791" w:rsidRPr="00A25F2C" w:rsidRDefault="007F4791" w:rsidP="004E1FA1">
            <w:pPr>
              <w:pStyle w:val="TableBodyText"/>
            </w:pPr>
            <w:r w:rsidRPr="00A25F2C">
              <w:rPr>
                <w:b/>
              </w:rPr>
              <w:t>797.8</w:t>
            </w:r>
          </w:p>
        </w:tc>
        <w:tc>
          <w:tcPr>
            <w:tcW w:w="506" w:type="pct"/>
          </w:tcPr>
          <w:p w14:paraId="5DFB2F98" w14:textId="77777777" w:rsidR="007F4791" w:rsidRPr="00A25F2C" w:rsidRDefault="007F4791" w:rsidP="004E1FA1">
            <w:pPr>
              <w:pStyle w:val="TableBodyText"/>
            </w:pPr>
            <w:r w:rsidRPr="00A25F2C">
              <w:rPr>
                <w:b/>
              </w:rPr>
              <w:t>767.8</w:t>
            </w:r>
          </w:p>
        </w:tc>
        <w:tc>
          <w:tcPr>
            <w:tcW w:w="507" w:type="pct"/>
          </w:tcPr>
          <w:p w14:paraId="085DBBC7" w14:textId="77777777" w:rsidR="007F4791" w:rsidRPr="00A25F2C" w:rsidRDefault="007F4791" w:rsidP="004E1FA1">
            <w:pPr>
              <w:pStyle w:val="TableBodyText"/>
            </w:pPr>
            <w:r w:rsidRPr="00A25F2C">
              <w:rPr>
                <w:b/>
              </w:rPr>
              <w:t>779.8</w:t>
            </w:r>
          </w:p>
        </w:tc>
        <w:tc>
          <w:tcPr>
            <w:tcW w:w="525" w:type="pct"/>
          </w:tcPr>
          <w:p w14:paraId="0EF987CE" w14:textId="77777777" w:rsidR="007F4791" w:rsidRPr="00A25F2C" w:rsidRDefault="007F4791" w:rsidP="004E1FA1">
            <w:pPr>
              <w:pStyle w:val="TableBodyText"/>
              <w:rPr>
                <w:b/>
              </w:rPr>
            </w:pPr>
            <w:r w:rsidRPr="00A25F2C">
              <w:rPr>
                <w:b/>
              </w:rPr>
              <w:t>806.5</w:t>
            </w:r>
          </w:p>
        </w:tc>
      </w:tr>
    </w:tbl>
    <w:p w14:paraId="02EF433F" w14:textId="77777777" w:rsidR="00143D6B" w:rsidRDefault="007F4791" w:rsidP="007F4791">
      <w:pPr>
        <w:pStyle w:val="BodyText"/>
      </w:pPr>
      <w:r w:rsidRPr="00A25F2C">
        <w:t>All tables subject to rounding</w:t>
      </w:r>
    </w:p>
    <w:p w14:paraId="3EAD9641" w14:textId="14971437" w:rsidR="007F4791" w:rsidRPr="00A25F2C" w:rsidRDefault="007F4791" w:rsidP="008B27EB">
      <w:pPr>
        <w:pStyle w:val="Heading2"/>
      </w:pPr>
      <w:bookmarkStart w:id="55" w:name="_Toc147756903"/>
      <w:r w:rsidRPr="00A25F2C">
        <w:lastRenderedPageBreak/>
        <w:t>Capital Expenditure</w:t>
      </w:r>
      <w:bookmarkEnd w:id="55"/>
    </w:p>
    <w:p w14:paraId="246A1D9F" w14:textId="77777777" w:rsidR="007F4791" w:rsidRPr="00A25F2C" w:rsidRDefault="007F4791" w:rsidP="007F4791">
      <w:pPr>
        <w:pStyle w:val="BodyText"/>
      </w:pPr>
      <w:r w:rsidRPr="00A25F2C">
        <w:t>Melbourne Water’s total planned capital program is $6760.3 million over the 2023-24 to 2027-28 planning period.</w:t>
      </w:r>
    </w:p>
    <w:p w14:paraId="15FF26B8" w14:textId="77777777" w:rsidR="007F4791" w:rsidRPr="00A25F2C" w:rsidRDefault="007F4791" w:rsidP="007F4791">
      <w:pPr>
        <w:pStyle w:val="BodyText"/>
      </w:pPr>
      <w:r w:rsidRPr="00A25F2C">
        <w:t xml:space="preserve">The increase in capital expenditure is due to the requirement to increase capacity at the Western Treatment Plant </w:t>
      </w:r>
      <w:proofErr w:type="gramStart"/>
      <w:r w:rsidRPr="00A25F2C">
        <w:t>in order to</w:t>
      </w:r>
      <w:proofErr w:type="gramEnd"/>
      <w:r w:rsidRPr="00A25F2C">
        <w:t xml:space="preserve"> address significant growth in volumes treated, augmentation of water network to increase water transfer to the expanding northern and western corridor of Melbourne as well as investment in renewal of ageing infrastructure, increased investment to prevent decline in health of the waterways, land acquisitions to support new developments and investment in new technologies.</w:t>
      </w:r>
    </w:p>
    <w:p w14:paraId="787D1F08" w14:textId="77777777" w:rsidR="007F4791" w:rsidRPr="00A25F2C" w:rsidRDefault="007F4791" w:rsidP="008B27EB">
      <w:pPr>
        <w:pStyle w:val="Caption"/>
      </w:pPr>
      <w:r w:rsidRPr="00A25F2C">
        <w:t>Melbourne water capital expenses for 2022-23 to 2027-28</w:t>
      </w:r>
    </w:p>
    <w:p w14:paraId="7D1018D6" w14:textId="6BF613BB" w:rsidR="00143D6B" w:rsidRDefault="0097448D" w:rsidP="007F4791">
      <w:pPr>
        <w:pStyle w:val="BodyText"/>
        <w:rPr>
          <w:b/>
        </w:rPr>
      </w:pPr>
      <w:r>
        <w:rPr>
          <w:b/>
          <w:noProof/>
        </w:rPr>
        <w:drawing>
          <wp:inline distT="0" distB="0" distL="0" distR="0" wp14:anchorId="5A5FF0F5" wp14:editId="75064AD5">
            <wp:extent cx="6115685" cy="2778760"/>
            <wp:effectExtent l="0" t="0" r="0" b="2540"/>
            <wp:docPr id="31" name="Picture 31" descr="A graph showing the Melbourne Water capital expenses for 2022-23 to 2027-28. Refer to data tab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graph showing the Melbourne Water capital expenses for 2022-23 to 2027-28. Refer to data table below."/>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685" cy="2778760"/>
                    </a:xfrm>
                    <a:prstGeom prst="rect">
                      <a:avLst/>
                    </a:prstGeom>
                  </pic:spPr>
                </pic:pic>
              </a:graphicData>
            </a:graphic>
          </wp:inline>
        </w:drawing>
      </w:r>
    </w:p>
    <w:tbl>
      <w:tblPr>
        <w:tblStyle w:val="TableProfessional"/>
        <w:tblW w:w="5000" w:type="pct"/>
        <w:tblLook w:val="0620" w:firstRow="1" w:lastRow="0" w:firstColumn="0" w:lastColumn="0" w:noHBand="1" w:noVBand="1"/>
      </w:tblPr>
      <w:tblGrid>
        <w:gridCol w:w="3336"/>
        <w:gridCol w:w="1266"/>
        <w:gridCol w:w="1052"/>
        <w:gridCol w:w="996"/>
        <w:gridCol w:w="982"/>
        <w:gridCol w:w="982"/>
        <w:gridCol w:w="1017"/>
      </w:tblGrid>
      <w:tr w:rsidR="007F4791" w:rsidRPr="00A25F2C" w14:paraId="336B81CB" w14:textId="77777777" w:rsidTr="0086694E">
        <w:trPr>
          <w:cnfStyle w:val="100000000000" w:firstRow="1" w:lastRow="0" w:firstColumn="0" w:lastColumn="0" w:oddVBand="0" w:evenVBand="0" w:oddHBand="0" w:evenHBand="0" w:firstRowFirstColumn="0" w:firstRowLastColumn="0" w:lastRowFirstColumn="0" w:lastRowLastColumn="0"/>
          <w:cantSplit/>
        </w:trPr>
        <w:tc>
          <w:tcPr>
            <w:tcW w:w="1732" w:type="pct"/>
          </w:tcPr>
          <w:p w14:paraId="743395C6" w14:textId="6BA0F7DD" w:rsidR="007F4791" w:rsidRPr="00A25F2C" w:rsidRDefault="007F4791" w:rsidP="004E1FA1">
            <w:pPr>
              <w:pStyle w:val="TableBodyText"/>
            </w:pPr>
            <w:r w:rsidRPr="00A25F2C">
              <w:t>Capital Expenses (</w:t>
            </w:r>
            <w:r w:rsidR="00E65500">
              <w:t>$ million</w:t>
            </w:r>
            <w:r w:rsidRPr="00A25F2C">
              <w:t>)</w:t>
            </w:r>
          </w:p>
        </w:tc>
        <w:tc>
          <w:tcPr>
            <w:tcW w:w="657" w:type="pct"/>
          </w:tcPr>
          <w:p w14:paraId="7A05C111" w14:textId="77777777" w:rsidR="007F4791" w:rsidRPr="00A25F2C" w:rsidRDefault="007F4791" w:rsidP="00EA2D5D">
            <w:pPr>
              <w:pStyle w:val="TableBodyText"/>
              <w:jc w:val="right"/>
            </w:pPr>
            <w:r w:rsidRPr="00A25F2C">
              <w:t>2022-23</w:t>
            </w:r>
          </w:p>
          <w:p w14:paraId="49CC97FF" w14:textId="77777777" w:rsidR="007F4791" w:rsidRPr="00A25F2C" w:rsidRDefault="007F4791" w:rsidP="00EA2D5D">
            <w:pPr>
              <w:pStyle w:val="TableBodyText"/>
              <w:jc w:val="right"/>
            </w:pPr>
            <w:r w:rsidRPr="00A25F2C">
              <w:t>Forecast</w:t>
            </w:r>
          </w:p>
        </w:tc>
        <w:tc>
          <w:tcPr>
            <w:tcW w:w="546" w:type="pct"/>
          </w:tcPr>
          <w:p w14:paraId="48EFDDFD" w14:textId="77777777" w:rsidR="007F4791" w:rsidRPr="00A25F2C" w:rsidRDefault="007F4791" w:rsidP="00EA2D5D">
            <w:pPr>
              <w:pStyle w:val="TableBodyText"/>
              <w:jc w:val="right"/>
            </w:pPr>
            <w:r w:rsidRPr="00A25F2C">
              <w:t>2023-24</w:t>
            </w:r>
          </w:p>
        </w:tc>
        <w:tc>
          <w:tcPr>
            <w:tcW w:w="517" w:type="pct"/>
          </w:tcPr>
          <w:p w14:paraId="35241046" w14:textId="77777777" w:rsidR="007F4791" w:rsidRPr="00A25F2C" w:rsidRDefault="007F4791" w:rsidP="00EA2D5D">
            <w:pPr>
              <w:pStyle w:val="TableBodyText"/>
              <w:jc w:val="right"/>
            </w:pPr>
            <w:r w:rsidRPr="00A25F2C">
              <w:t>2024-25</w:t>
            </w:r>
          </w:p>
        </w:tc>
        <w:tc>
          <w:tcPr>
            <w:tcW w:w="510" w:type="pct"/>
          </w:tcPr>
          <w:p w14:paraId="43910D58" w14:textId="77777777" w:rsidR="007F4791" w:rsidRPr="00A25F2C" w:rsidRDefault="007F4791" w:rsidP="00EA2D5D">
            <w:pPr>
              <w:pStyle w:val="TableBodyText"/>
              <w:jc w:val="right"/>
            </w:pPr>
            <w:r w:rsidRPr="00A25F2C">
              <w:t>2025-26</w:t>
            </w:r>
          </w:p>
        </w:tc>
        <w:tc>
          <w:tcPr>
            <w:tcW w:w="510" w:type="pct"/>
          </w:tcPr>
          <w:p w14:paraId="2EB9C07D" w14:textId="77777777" w:rsidR="007F4791" w:rsidRPr="00A25F2C" w:rsidRDefault="007F4791" w:rsidP="00EA2D5D">
            <w:pPr>
              <w:pStyle w:val="TableBodyText"/>
              <w:jc w:val="right"/>
            </w:pPr>
            <w:r w:rsidRPr="00A25F2C">
              <w:t>2026-27</w:t>
            </w:r>
          </w:p>
        </w:tc>
        <w:tc>
          <w:tcPr>
            <w:tcW w:w="528" w:type="pct"/>
          </w:tcPr>
          <w:p w14:paraId="271A34E2" w14:textId="77777777" w:rsidR="007F4791" w:rsidRPr="00A25F2C" w:rsidRDefault="007F4791" w:rsidP="00EA2D5D">
            <w:pPr>
              <w:pStyle w:val="TableBodyText"/>
              <w:jc w:val="right"/>
            </w:pPr>
            <w:r w:rsidRPr="00A25F2C">
              <w:t>2027-28</w:t>
            </w:r>
          </w:p>
        </w:tc>
      </w:tr>
      <w:tr w:rsidR="007F4791" w:rsidRPr="00A25F2C" w14:paraId="2DB83150" w14:textId="77777777" w:rsidTr="0086694E">
        <w:trPr>
          <w:cantSplit/>
        </w:trPr>
        <w:tc>
          <w:tcPr>
            <w:tcW w:w="1732" w:type="pct"/>
          </w:tcPr>
          <w:p w14:paraId="3E5F0B5C" w14:textId="77777777" w:rsidR="007F4791" w:rsidRPr="00A25F2C" w:rsidRDefault="007F4791" w:rsidP="004E1FA1">
            <w:pPr>
              <w:pStyle w:val="TableBodyText"/>
            </w:pPr>
            <w:r w:rsidRPr="00A25F2C">
              <w:t>Water</w:t>
            </w:r>
          </w:p>
        </w:tc>
        <w:tc>
          <w:tcPr>
            <w:tcW w:w="657" w:type="pct"/>
            <w:shd w:val="clear" w:color="auto" w:fill="F2F2F2" w:themeFill="background1" w:themeFillShade="F2"/>
          </w:tcPr>
          <w:p w14:paraId="5F438E41" w14:textId="77777777" w:rsidR="007F4791" w:rsidRPr="00A25F2C" w:rsidRDefault="007F4791" w:rsidP="00EA2D5D">
            <w:pPr>
              <w:pStyle w:val="TableBodyText"/>
              <w:jc w:val="right"/>
            </w:pPr>
            <w:r w:rsidRPr="00A25F2C">
              <w:t>182.1</w:t>
            </w:r>
          </w:p>
        </w:tc>
        <w:tc>
          <w:tcPr>
            <w:tcW w:w="546" w:type="pct"/>
          </w:tcPr>
          <w:p w14:paraId="3DB5388B" w14:textId="77777777" w:rsidR="007F4791" w:rsidRPr="00A25F2C" w:rsidRDefault="007F4791" w:rsidP="00EA2D5D">
            <w:pPr>
              <w:pStyle w:val="TableBodyText"/>
              <w:jc w:val="right"/>
            </w:pPr>
            <w:r w:rsidRPr="00A25F2C">
              <w:t>248.3</w:t>
            </w:r>
          </w:p>
        </w:tc>
        <w:tc>
          <w:tcPr>
            <w:tcW w:w="517" w:type="pct"/>
          </w:tcPr>
          <w:p w14:paraId="6C46F9AB" w14:textId="77777777" w:rsidR="007F4791" w:rsidRPr="00A25F2C" w:rsidRDefault="007F4791" w:rsidP="00EA2D5D">
            <w:pPr>
              <w:pStyle w:val="TableBodyText"/>
              <w:jc w:val="right"/>
            </w:pPr>
            <w:r w:rsidRPr="00A25F2C">
              <w:t>148.4</w:t>
            </w:r>
          </w:p>
        </w:tc>
        <w:tc>
          <w:tcPr>
            <w:tcW w:w="510" w:type="pct"/>
          </w:tcPr>
          <w:p w14:paraId="79E518C4" w14:textId="77777777" w:rsidR="007F4791" w:rsidRPr="00A25F2C" w:rsidRDefault="007F4791" w:rsidP="00EA2D5D">
            <w:pPr>
              <w:pStyle w:val="TableBodyText"/>
              <w:jc w:val="right"/>
            </w:pPr>
            <w:r w:rsidRPr="00A25F2C">
              <w:t>115.8</w:t>
            </w:r>
          </w:p>
        </w:tc>
        <w:tc>
          <w:tcPr>
            <w:tcW w:w="510" w:type="pct"/>
          </w:tcPr>
          <w:p w14:paraId="64F41CF3" w14:textId="77777777" w:rsidR="007F4791" w:rsidRPr="00A25F2C" w:rsidRDefault="007F4791" w:rsidP="00EA2D5D">
            <w:pPr>
              <w:pStyle w:val="TableBodyText"/>
              <w:jc w:val="right"/>
            </w:pPr>
            <w:r w:rsidRPr="00A25F2C">
              <w:t>712.4</w:t>
            </w:r>
          </w:p>
        </w:tc>
        <w:tc>
          <w:tcPr>
            <w:tcW w:w="528" w:type="pct"/>
          </w:tcPr>
          <w:p w14:paraId="040778F6" w14:textId="77777777" w:rsidR="007F4791" w:rsidRPr="00A25F2C" w:rsidRDefault="007F4791" w:rsidP="00EA2D5D">
            <w:pPr>
              <w:pStyle w:val="TableBodyText"/>
              <w:jc w:val="right"/>
            </w:pPr>
            <w:r w:rsidRPr="00A25F2C">
              <w:t>902.4</w:t>
            </w:r>
          </w:p>
        </w:tc>
      </w:tr>
      <w:tr w:rsidR="007F4791" w:rsidRPr="00A25F2C" w14:paraId="2D71E33E" w14:textId="77777777" w:rsidTr="0086694E">
        <w:trPr>
          <w:cantSplit/>
        </w:trPr>
        <w:tc>
          <w:tcPr>
            <w:tcW w:w="1732" w:type="pct"/>
          </w:tcPr>
          <w:p w14:paraId="0E488988" w14:textId="77777777" w:rsidR="007F4791" w:rsidRPr="00A25F2C" w:rsidRDefault="007F4791" w:rsidP="004E1FA1">
            <w:pPr>
              <w:pStyle w:val="TableBodyText"/>
            </w:pPr>
            <w:r w:rsidRPr="00A25F2C">
              <w:t>Sewerage</w:t>
            </w:r>
          </w:p>
        </w:tc>
        <w:tc>
          <w:tcPr>
            <w:tcW w:w="657" w:type="pct"/>
            <w:shd w:val="clear" w:color="auto" w:fill="F2F2F2" w:themeFill="background1" w:themeFillShade="F2"/>
          </w:tcPr>
          <w:p w14:paraId="0FD0D41E" w14:textId="77777777" w:rsidR="007F4791" w:rsidRPr="00A25F2C" w:rsidRDefault="007F4791" w:rsidP="00EA2D5D">
            <w:pPr>
              <w:pStyle w:val="TableBodyText"/>
              <w:jc w:val="right"/>
            </w:pPr>
            <w:r w:rsidRPr="00A25F2C">
              <w:t>282.3</w:t>
            </w:r>
          </w:p>
        </w:tc>
        <w:tc>
          <w:tcPr>
            <w:tcW w:w="546" w:type="pct"/>
          </w:tcPr>
          <w:p w14:paraId="59662EBB" w14:textId="77777777" w:rsidR="007F4791" w:rsidRPr="00A25F2C" w:rsidRDefault="007F4791" w:rsidP="00EA2D5D">
            <w:pPr>
              <w:pStyle w:val="TableBodyText"/>
              <w:jc w:val="right"/>
            </w:pPr>
            <w:r w:rsidRPr="00A25F2C">
              <w:t>473.9</w:t>
            </w:r>
          </w:p>
        </w:tc>
        <w:tc>
          <w:tcPr>
            <w:tcW w:w="517" w:type="pct"/>
          </w:tcPr>
          <w:p w14:paraId="401B9FBD" w14:textId="77777777" w:rsidR="007F4791" w:rsidRPr="00A25F2C" w:rsidRDefault="007F4791" w:rsidP="00EA2D5D">
            <w:pPr>
              <w:pStyle w:val="TableBodyText"/>
              <w:jc w:val="right"/>
            </w:pPr>
            <w:r w:rsidRPr="00A25F2C">
              <w:t>671.6</w:t>
            </w:r>
          </w:p>
        </w:tc>
        <w:tc>
          <w:tcPr>
            <w:tcW w:w="510" w:type="pct"/>
          </w:tcPr>
          <w:p w14:paraId="7ECBED66" w14:textId="77777777" w:rsidR="007F4791" w:rsidRPr="00A25F2C" w:rsidRDefault="007F4791" w:rsidP="00EA2D5D">
            <w:pPr>
              <w:pStyle w:val="TableBodyText"/>
              <w:jc w:val="right"/>
            </w:pPr>
            <w:r w:rsidRPr="00A25F2C">
              <w:t>416.0</w:t>
            </w:r>
          </w:p>
        </w:tc>
        <w:tc>
          <w:tcPr>
            <w:tcW w:w="510" w:type="pct"/>
          </w:tcPr>
          <w:p w14:paraId="705F56CA" w14:textId="77777777" w:rsidR="007F4791" w:rsidRPr="00A25F2C" w:rsidRDefault="007F4791" w:rsidP="00EA2D5D">
            <w:pPr>
              <w:pStyle w:val="TableBodyText"/>
              <w:jc w:val="right"/>
            </w:pPr>
            <w:r w:rsidRPr="00A25F2C">
              <w:t>410.1</w:t>
            </w:r>
          </w:p>
        </w:tc>
        <w:tc>
          <w:tcPr>
            <w:tcW w:w="528" w:type="pct"/>
          </w:tcPr>
          <w:p w14:paraId="14918397" w14:textId="77777777" w:rsidR="007F4791" w:rsidRPr="00A25F2C" w:rsidRDefault="007F4791" w:rsidP="00EA2D5D">
            <w:pPr>
              <w:pStyle w:val="TableBodyText"/>
              <w:jc w:val="right"/>
            </w:pPr>
            <w:r w:rsidRPr="00A25F2C">
              <w:t>526.0</w:t>
            </w:r>
          </w:p>
        </w:tc>
      </w:tr>
      <w:tr w:rsidR="007F4791" w:rsidRPr="00A25F2C" w14:paraId="759B8AB6" w14:textId="77777777" w:rsidTr="0086694E">
        <w:trPr>
          <w:cantSplit/>
        </w:trPr>
        <w:tc>
          <w:tcPr>
            <w:tcW w:w="1732" w:type="pct"/>
          </w:tcPr>
          <w:p w14:paraId="05277B86" w14:textId="77777777" w:rsidR="007F4791" w:rsidRPr="00A25F2C" w:rsidRDefault="007F4791" w:rsidP="004E1FA1">
            <w:pPr>
              <w:pStyle w:val="TableBodyText"/>
            </w:pPr>
            <w:r w:rsidRPr="00A25F2C">
              <w:t>Waterways</w:t>
            </w:r>
          </w:p>
        </w:tc>
        <w:tc>
          <w:tcPr>
            <w:tcW w:w="657" w:type="pct"/>
            <w:shd w:val="clear" w:color="auto" w:fill="F2F2F2" w:themeFill="background1" w:themeFillShade="F2"/>
          </w:tcPr>
          <w:p w14:paraId="56BA676B" w14:textId="77777777" w:rsidR="007F4791" w:rsidRPr="00A25F2C" w:rsidRDefault="007F4791" w:rsidP="00EA2D5D">
            <w:pPr>
              <w:pStyle w:val="TableBodyText"/>
              <w:jc w:val="right"/>
            </w:pPr>
            <w:r w:rsidRPr="00A25F2C">
              <w:t>54.2</w:t>
            </w:r>
          </w:p>
        </w:tc>
        <w:tc>
          <w:tcPr>
            <w:tcW w:w="546" w:type="pct"/>
          </w:tcPr>
          <w:p w14:paraId="481E665D" w14:textId="77777777" w:rsidR="007F4791" w:rsidRPr="00A25F2C" w:rsidRDefault="007F4791" w:rsidP="00EA2D5D">
            <w:pPr>
              <w:pStyle w:val="TableBodyText"/>
              <w:jc w:val="right"/>
            </w:pPr>
            <w:r w:rsidRPr="00A25F2C">
              <w:t>95.7</w:t>
            </w:r>
          </w:p>
        </w:tc>
        <w:tc>
          <w:tcPr>
            <w:tcW w:w="517" w:type="pct"/>
          </w:tcPr>
          <w:p w14:paraId="5149C63D" w14:textId="77777777" w:rsidR="007F4791" w:rsidRPr="00A25F2C" w:rsidRDefault="007F4791" w:rsidP="00EA2D5D">
            <w:pPr>
              <w:pStyle w:val="TableBodyText"/>
              <w:jc w:val="right"/>
            </w:pPr>
            <w:r w:rsidRPr="00A25F2C">
              <w:t>96.2</w:t>
            </w:r>
          </w:p>
        </w:tc>
        <w:tc>
          <w:tcPr>
            <w:tcW w:w="510" w:type="pct"/>
          </w:tcPr>
          <w:p w14:paraId="164704CE" w14:textId="77777777" w:rsidR="007F4791" w:rsidRPr="00A25F2C" w:rsidRDefault="007F4791" w:rsidP="00EA2D5D">
            <w:pPr>
              <w:pStyle w:val="TableBodyText"/>
              <w:jc w:val="right"/>
            </w:pPr>
            <w:r w:rsidRPr="00A25F2C">
              <w:t>104.3</w:t>
            </w:r>
          </w:p>
        </w:tc>
        <w:tc>
          <w:tcPr>
            <w:tcW w:w="510" w:type="pct"/>
          </w:tcPr>
          <w:p w14:paraId="3D9002DE" w14:textId="77777777" w:rsidR="007F4791" w:rsidRPr="00A25F2C" w:rsidRDefault="007F4791" w:rsidP="00EA2D5D">
            <w:pPr>
              <w:pStyle w:val="TableBodyText"/>
              <w:jc w:val="right"/>
            </w:pPr>
            <w:r w:rsidRPr="00A25F2C">
              <w:t>88.4</w:t>
            </w:r>
          </w:p>
        </w:tc>
        <w:tc>
          <w:tcPr>
            <w:tcW w:w="528" w:type="pct"/>
          </w:tcPr>
          <w:p w14:paraId="58CAC2AF" w14:textId="77777777" w:rsidR="007F4791" w:rsidRPr="00A25F2C" w:rsidRDefault="007F4791" w:rsidP="00EA2D5D">
            <w:pPr>
              <w:pStyle w:val="TableBodyText"/>
              <w:jc w:val="right"/>
            </w:pPr>
            <w:r w:rsidRPr="00A25F2C">
              <w:t>132.1</w:t>
            </w:r>
          </w:p>
        </w:tc>
      </w:tr>
      <w:tr w:rsidR="007F4791" w:rsidRPr="00A25F2C" w14:paraId="63D00078" w14:textId="77777777" w:rsidTr="0086694E">
        <w:trPr>
          <w:cantSplit/>
        </w:trPr>
        <w:tc>
          <w:tcPr>
            <w:tcW w:w="1732" w:type="pct"/>
          </w:tcPr>
          <w:p w14:paraId="6B2571D5" w14:textId="77777777" w:rsidR="007F4791" w:rsidRPr="00A25F2C" w:rsidRDefault="007F4791" w:rsidP="004E1FA1">
            <w:pPr>
              <w:pStyle w:val="TableBodyText"/>
            </w:pPr>
            <w:r w:rsidRPr="00A25F2C">
              <w:t>Drainage and Flood Protection</w:t>
            </w:r>
          </w:p>
        </w:tc>
        <w:tc>
          <w:tcPr>
            <w:tcW w:w="657" w:type="pct"/>
            <w:shd w:val="clear" w:color="auto" w:fill="F2F2F2" w:themeFill="background1" w:themeFillShade="F2"/>
          </w:tcPr>
          <w:p w14:paraId="168CF330" w14:textId="77777777" w:rsidR="007F4791" w:rsidRPr="00A25F2C" w:rsidRDefault="007F4791" w:rsidP="00EA2D5D">
            <w:pPr>
              <w:pStyle w:val="TableBodyText"/>
              <w:jc w:val="right"/>
            </w:pPr>
            <w:r w:rsidRPr="00A25F2C">
              <w:t>18.3</w:t>
            </w:r>
          </w:p>
        </w:tc>
        <w:tc>
          <w:tcPr>
            <w:tcW w:w="546" w:type="pct"/>
          </w:tcPr>
          <w:p w14:paraId="385A4730" w14:textId="77777777" w:rsidR="007F4791" w:rsidRPr="00A25F2C" w:rsidRDefault="007F4791" w:rsidP="00EA2D5D">
            <w:pPr>
              <w:pStyle w:val="TableBodyText"/>
              <w:jc w:val="right"/>
            </w:pPr>
            <w:r w:rsidRPr="00A25F2C">
              <w:t>48.6</w:t>
            </w:r>
          </w:p>
        </w:tc>
        <w:tc>
          <w:tcPr>
            <w:tcW w:w="517" w:type="pct"/>
          </w:tcPr>
          <w:p w14:paraId="7A69D29A" w14:textId="77777777" w:rsidR="007F4791" w:rsidRPr="00A25F2C" w:rsidRDefault="007F4791" w:rsidP="00EA2D5D">
            <w:pPr>
              <w:pStyle w:val="TableBodyText"/>
              <w:jc w:val="right"/>
            </w:pPr>
            <w:r w:rsidRPr="00A25F2C">
              <w:t>25.7</w:t>
            </w:r>
          </w:p>
        </w:tc>
        <w:tc>
          <w:tcPr>
            <w:tcW w:w="510" w:type="pct"/>
          </w:tcPr>
          <w:p w14:paraId="48C159CD" w14:textId="77777777" w:rsidR="007F4791" w:rsidRPr="00A25F2C" w:rsidRDefault="007F4791" w:rsidP="00EA2D5D">
            <w:pPr>
              <w:pStyle w:val="TableBodyText"/>
              <w:jc w:val="right"/>
            </w:pPr>
            <w:r w:rsidRPr="00A25F2C">
              <w:t>60.7</w:t>
            </w:r>
          </w:p>
        </w:tc>
        <w:tc>
          <w:tcPr>
            <w:tcW w:w="510" w:type="pct"/>
          </w:tcPr>
          <w:p w14:paraId="3C9EF10E" w14:textId="77777777" w:rsidR="007F4791" w:rsidRPr="00A25F2C" w:rsidRDefault="007F4791" w:rsidP="00EA2D5D">
            <w:pPr>
              <w:pStyle w:val="TableBodyText"/>
              <w:jc w:val="right"/>
            </w:pPr>
            <w:r w:rsidRPr="00A25F2C">
              <w:t>87.4</w:t>
            </w:r>
          </w:p>
        </w:tc>
        <w:tc>
          <w:tcPr>
            <w:tcW w:w="528" w:type="pct"/>
          </w:tcPr>
          <w:p w14:paraId="389268EC" w14:textId="77777777" w:rsidR="007F4791" w:rsidRPr="00A25F2C" w:rsidRDefault="007F4791" w:rsidP="00EA2D5D">
            <w:pPr>
              <w:pStyle w:val="TableBodyText"/>
              <w:jc w:val="right"/>
            </w:pPr>
            <w:r w:rsidRPr="00A25F2C">
              <w:t>41.1</w:t>
            </w:r>
          </w:p>
        </w:tc>
      </w:tr>
      <w:tr w:rsidR="007F4791" w:rsidRPr="00A25F2C" w14:paraId="02465D65" w14:textId="77777777" w:rsidTr="0086694E">
        <w:trPr>
          <w:cantSplit/>
        </w:trPr>
        <w:tc>
          <w:tcPr>
            <w:tcW w:w="1732" w:type="pct"/>
          </w:tcPr>
          <w:p w14:paraId="3DAEFA86" w14:textId="77777777" w:rsidR="007F4791" w:rsidRPr="00A25F2C" w:rsidRDefault="007F4791" w:rsidP="004E1FA1">
            <w:pPr>
              <w:pStyle w:val="TableBodyText"/>
            </w:pPr>
            <w:r w:rsidRPr="00A25F2C">
              <w:t>Land Development</w:t>
            </w:r>
          </w:p>
        </w:tc>
        <w:tc>
          <w:tcPr>
            <w:tcW w:w="657" w:type="pct"/>
            <w:shd w:val="clear" w:color="auto" w:fill="F2F2F2" w:themeFill="background1" w:themeFillShade="F2"/>
          </w:tcPr>
          <w:p w14:paraId="7CCDB4FA" w14:textId="77777777" w:rsidR="007F4791" w:rsidRPr="00A25F2C" w:rsidRDefault="007F4791" w:rsidP="00EA2D5D">
            <w:pPr>
              <w:pStyle w:val="TableBodyText"/>
              <w:jc w:val="right"/>
            </w:pPr>
            <w:r w:rsidRPr="00A25F2C">
              <w:t>230.6</w:t>
            </w:r>
          </w:p>
        </w:tc>
        <w:tc>
          <w:tcPr>
            <w:tcW w:w="546" w:type="pct"/>
          </w:tcPr>
          <w:p w14:paraId="7AA4D3E7" w14:textId="77777777" w:rsidR="007F4791" w:rsidRPr="00A25F2C" w:rsidRDefault="007F4791" w:rsidP="00EA2D5D">
            <w:pPr>
              <w:pStyle w:val="TableBodyText"/>
              <w:jc w:val="right"/>
            </w:pPr>
            <w:r w:rsidRPr="00A25F2C">
              <w:t>251.4</w:t>
            </w:r>
          </w:p>
        </w:tc>
        <w:tc>
          <w:tcPr>
            <w:tcW w:w="517" w:type="pct"/>
          </w:tcPr>
          <w:p w14:paraId="20623324" w14:textId="77777777" w:rsidR="007F4791" w:rsidRPr="00A25F2C" w:rsidRDefault="007F4791" w:rsidP="00EA2D5D">
            <w:pPr>
              <w:pStyle w:val="TableBodyText"/>
              <w:jc w:val="right"/>
            </w:pPr>
            <w:r w:rsidRPr="00A25F2C">
              <w:t>229.9</w:t>
            </w:r>
          </w:p>
        </w:tc>
        <w:tc>
          <w:tcPr>
            <w:tcW w:w="510" w:type="pct"/>
          </w:tcPr>
          <w:p w14:paraId="7250A70B" w14:textId="77777777" w:rsidR="007F4791" w:rsidRPr="00A25F2C" w:rsidRDefault="007F4791" w:rsidP="00EA2D5D">
            <w:pPr>
              <w:pStyle w:val="TableBodyText"/>
              <w:jc w:val="right"/>
            </w:pPr>
            <w:r w:rsidRPr="00A25F2C">
              <w:t>241.2</w:t>
            </w:r>
          </w:p>
        </w:tc>
        <w:tc>
          <w:tcPr>
            <w:tcW w:w="510" w:type="pct"/>
          </w:tcPr>
          <w:p w14:paraId="1B254F54" w14:textId="77777777" w:rsidR="007F4791" w:rsidRPr="00A25F2C" w:rsidRDefault="007F4791" w:rsidP="00EA2D5D">
            <w:pPr>
              <w:pStyle w:val="TableBodyText"/>
              <w:jc w:val="right"/>
            </w:pPr>
            <w:r w:rsidRPr="00A25F2C">
              <w:t>217.6</w:t>
            </w:r>
          </w:p>
        </w:tc>
        <w:tc>
          <w:tcPr>
            <w:tcW w:w="528" w:type="pct"/>
          </w:tcPr>
          <w:p w14:paraId="01610696" w14:textId="77777777" w:rsidR="007F4791" w:rsidRPr="00A25F2C" w:rsidRDefault="007F4791" w:rsidP="00EA2D5D">
            <w:pPr>
              <w:pStyle w:val="TableBodyText"/>
              <w:jc w:val="right"/>
            </w:pPr>
            <w:r w:rsidRPr="00A25F2C">
              <w:t>221.9</w:t>
            </w:r>
          </w:p>
        </w:tc>
      </w:tr>
      <w:tr w:rsidR="007F4791" w:rsidRPr="00A25F2C" w14:paraId="28830670" w14:textId="77777777" w:rsidTr="0086694E">
        <w:trPr>
          <w:cantSplit/>
        </w:trPr>
        <w:tc>
          <w:tcPr>
            <w:tcW w:w="1732" w:type="pct"/>
          </w:tcPr>
          <w:p w14:paraId="6079A84F" w14:textId="77777777" w:rsidR="007F4791" w:rsidRPr="00A25F2C" w:rsidRDefault="007F4791" w:rsidP="004E1FA1">
            <w:pPr>
              <w:pStyle w:val="TableBodyText"/>
            </w:pPr>
            <w:r w:rsidRPr="00A25F2C">
              <w:t>Corporate/Business Development</w:t>
            </w:r>
          </w:p>
        </w:tc>
        <w:tc>
          <w:tcPr>
            <w:tcW w:w="657" w:type="pct"/>
            <w:shd w:val="clear" w:color="auto" w:fill="F2F2F2" w:themeFill="background1" w:themeFillShade="F2"/>
          </w:tcPr>
          <w:p w14:paraId="363AC204" w14:textId="77777777" w:rsidR="007F4791" w:rsidRPr="00A25F2C" w:rsidRDefault="007F4791" w:rsidP="00EA2D5D">
            <w:pPr>
              <w:pStyle w:val="TableBodyText"/>
              <w:jc w:val="right"/>
            </w:pPr>
            <w:r w:rsidRPr="00A25F2C">
              <w:t>28.6</w:t>
            </w:r>
          </w:p>
        </w:tc>
        <w:tc>
          <w:tcPr>
            <w:tcW w:w="546" w:type="pct"/>
          </w:tcPr>
          <w:p w14:paraId="0731E07C" w14:textId="77777777" w:rsidR="007F4791" w:rsidRPr="00A25F2C" w:rsidRDefault="007F4791" w:rsidP="00EA2D5D">
            <w:pPr>
              <w:pStyle w:val="TableBodyText"/>
              <w:jc w:val="right"/>
            </w:pPr>
            <w:r w:rsidRPr="00A25F2C">
              <w:t>44.1</w:t>
            </w:r>
          </w:p>
        </w:tc>
        <w:tc>
          <w:tcPr>
            <w:tcW w:w="517" w:type="pct"/>
          </w:tcPr>
          <w:p w14:paraId="1F7D9E09" w14:textId="77777777" w:rsidR="007F4791" w:rsidRPr="00A25F2C" w:rsidRDefault="007F4791" w:rsidP="00EA2D5D">
            <w:pPr>
              <w:pStyle w:val="TableBodyText"/>
              <w:jc w:val="right"/>
            </w:pPr>
            <w:r w:rsidRPr="00A25F2C">
              <w:t>32.7</w:t>
            </w:r>
          </w:p>
        </w:tc>
        <w:tc>
          <w:tcPr>
            <w:tcW w:w="510" w:type="pct"/>
          </w:tcPr>
          <w:p w14:paraId="31248075" w14:textId="77777777" w:rsidR="007F4791" w:rsidRPr="00A25F2C" w:rsidRDefault="007F4791" w:rsidP="00EA2D5D">
            <w:pPr>
              <w:pStyle w:val="TableBodyText"/>
              <w:jc w:val="right"/>
            </w:pPr>
            <w:r w:rsidRPr="00A25F2C">
              <w:t>27.8</w:t>
            </w:r>
          </w:p>
        </w:tc>
        <w:tc>
          <w:tcPr>
            <w:tcW w:w="510" w:type="pct"/>
          </w:tcPr>
          <w:p w14:paraId="6060E364" w14:textId="77777777" w:rsidR="007F4791" w:rsidRPr="00A25F2C" w:rsidRDefault="007F4791" w:rsidP="00EA2D5D">
            <w:pPr>
              <w:pStyle w:val="TableBodyText"/>
              <w:jc w:val="right"/>
            </w:pPr>
            <w:r w:rsidRPr="00A25F2C">
              <w:t>43.3</w:t>
            </w:r>
          </w:p>
        </w:tc>
        <w:tc>
          <w:tcPr>
            <w:tcW w:w="528" w:type="pct"/>
          </w:tcPr>
          <w:p w14:paraId="000059D6" w14:textId="77777777" w:rsidR="007F4791" w:rsidRPr="00A25F2C" w:rsidRDefault="007F4791" w:rsidP="00EA2D5D">
            <w:pPr>
              <w:pStyle w:val="TableBodyText"/>
              <w:jc w:val="right"/>
            </w:pPr>
            <w:r w:rsidRPr="00A25F2C">
              <w:t>45.3</w:t>
            </w:r>
          </w:p>
        </w:tc>
      </w:tr>
      <w:tr w:rsidR="00EA2D5D" w:rsidRPr="00A25F2C" w14:paraId="46A51BBC" w14:textId="77777777" w:rsidTr="0086694E">
        <w:trPr>
          <w:cantSplit/>
        </w:trPr>
        <w:tc>
          <w:tcPr>
            <w:tcW w:w="1732" w:type="pct"/>
            <w:shd w:val="clear" w:color="auto" w:fill="F2F2F2" w:themeFill="background1" w:themeFillShade="F2"/>
          </w:tcPr>
          <w:p w14:paraId="459ACA29" w14:textId="77777777" w:rsidR="007F4791" w:rsidRPr="00A25F2C" w:rsidRDefault="007F4791" w:rsidP="004E1FA1">
            <w:pPr>
              <w:pStyle w:val="TableBodyText"/>
            </w:pPr>
            <w:r w:rsidRPr="00A25F2C">
              <w:rPr>
                <w:b/>
              </w:rPr>
              <w:t>Total</w:t>
            </w:r>
          </w:p>
        </w:tc>
        <w:tc>
          <w:tcPr>
            <w:tcW w:w="657" w:type="pct"/>
            <w:shd w:val="clear" w:color="auto" w:fill="F2F2F2" w:themeFill="background1" w:themeFillShade="F2"/>
          </w:tcPr>
          <w:p w14:paraId="5E4A557E" w14:textId="77777777" w:rsidR="007F4791" w:rsidRPr="00A25F2C" w:rsidRDefault="007F4791" w:rsidP="00EA2D5D">
            <w:pPr>
              <w:pStyle w:val="TableBodyText"/>
              <w:jc w:val="right"/>
            </w:pPr>
            <w:r w:rsidRPr="00A25F2C">
              <w:rPr>
                <w:b/>
              </w:rPr>
              <w:t>796.1</w:t>
            </w:r>
          </w:p>
        </w:tc>
        <w:tc>
          <w:tcPr>
            <w:tcW w:w="546" w:type="pct"/>
            <w:shd w:val="clear" w:color="auto" w:fill="F2F2F2" w:themeFill="background1" w:themeFillShade="F2"/>
          </w:tcPr>
          <w:p w14:paraId="64BEB15E" w14:textId="77777777" w:rsidR="007F4791" w:rsidRPr="00A25F2C" w:rsidRDefault="007F4791" w:rsidP="00EA2D5D">
            <w:pPr>
              <w:pStyle w:val="TableBodyText"/>
              <w:jc w:val="right"/>
            </w:pPr>
            <w:r w:rsidRPr="00A25F2C">
              <w:rPr>
                <w:b/>
              </w:rPr>
              <w:t>1,162.0</w:t>
            </w:r>
          </w:p>
        </w:tc>
        <w:tc>
          <w:tcPr>
            <w:tcW w:w="517" w:type="pct"/>
            <w:shd w:val="clear" w:color="auto" w:fill="F2F2F2" w:themeFill="background1" w:themeFillShade="F2"/>
          </w:tcPr>
          <w:p w14:paraId="02A740E3" w14:textId="77777777" w:rsidR="007F4791" w:rsidRPr="00A25F2C" w:rsidRDefault="007F4791" w:rsidP="00EA2D5D">
            <w:pPr>
              <w:pStyle w:val="TableBodyText"/>
              <w:jc w:val="right"/>
            </w:pPr>
            <w:r w:rsidRPr="00A25F2C">
              <w:rPr>
                <w:b/>
              </w:rPr>
              <w:t>1,204.5</w:t>
            </w:r>
          </w:p>
        </w:tc>
        <w:tc>
          <w:tcPr>
            <w:tcW w:w="510" w:type="pct"/>
            <w:shd w:val="clear" w:color="auto" w:fill="F2F2F2" w:themeFill="background1" w:themeFillShade="F2"/>
          </w:tcPr>
          <w:p w14:paraId="657100DB" w14:textId="77777777" w:rsidR="007F4791" w:rsidRPr="00A25F2C" w:rsidRDefault="007F4791" w:rsidP="00EA2D5D">
            <w:pPr>
              <w:pStyle w:val="TableBodyText"/>
              <w:jc w:val="right"/>
            </w:pPr>
            <w:r w:rsidRPr="00A25F2C">
              <w:rPr>
                <w:b/>
              </w:rPr>
              <w:t>965.8</w:t>
            </w:r>
          </w:p>
        </w:tc>
        <w:tc>
          <w:tcPr>
            <w:tcW w:w="510" w:type="pct"/>
            <w:shd w:val="clear" w:color="auto" w:fill="F2F2F2" w:themeFill="background1" w:themeFillShade="F2"/>
          </w:tcPr>
          <w:p w14:paraId="3B3ABAD6" w14:textId="77777777" w:rsidR="007F4791" w:rsidRPr="00A25F2C" w:rsidRDefault="007F4791" w:rsidP="00EA2D5D">
            <w:pPr>
              <w:pStyle w:val="TableBodyText"/>
              <w:jc w:val="right"/>
            </w:pPr>
            <w:r w:rsidRPr="00A25F2C">
              <w:rPr>
                <w:b/>
              </w:rPr>
              <w:t>1,559.2</w:t>
            </w:r>
          </w:p>
        </w:tc>
        <w:tc>
          <w:tcPr>
            <w:tcW w:w="528" w:type="pct"/>
            <w:shd w:val="clear" w:color="auto" w:fill="F2F2F2" w:themeFill="background1" w:themeFillShade="F2"/>
          </w:tcPr>
          <w:p w14:paraId="571E7616" w14:textId="77777777" w:rsidR="007F4791" w:rsidRPr="00A25F2C" w:rsidRDefault="007F4791" w:rsidP="00EA2D5D">
            <w:pPr>
              <w:pStyle w:val="TableBodyText"/>
              <w:jc w:val="right"/>
              <w:rPr>
                <w:b/>
              </w:rPr>
            </w:pPr>
            <w:r w:rsidRPr="00A25F2C">
              <w:rPr>
                <w:b/>
              </w:rPr>
              <w:t>1,868.8</w:t>
            </w:r>
          </w:p>
        </w:tc>
      </w:tr>
    </w:tbl>
    <w:p w14:paraId="2B2F982D" w14:textId="77777777" w:rsidR="00143D6B" w:rsidRDefault="007F4791" w:rsidP="007F4791">
      <w:pPr>
        <w:pStyle w:val="BodyText"/>
      </w:pPr>
      <w:r w:rsidRPr="00A25F2C">
        <w:t>All tables subject to rounding</w:t>
      </w:r>
    </w:p>
    <w:p w14:paraId="630BA771" w14:textId="6303FDE1" w:rsidR="007F4791" w:rsidRPr="00A25F2C" w:rsidRDefault="007F4791" w:rsidP="008B27EB">
      <w:pPr>
        <w:pStyle w:val="Heading2"/>
      </w:pPr>
      <w:bookmarkStart w:id="56" w:name="_Toc147756904"/>
      <w:r w:rsidRPr="00A25F2C">
        <w:t>Borrowings</w:t>
      </w:r>
      <w:bookmarkEnd w:id="56"/>
    </w:p>
    <w:p w14:paraId="5123814D" w14:textId="77777777" w:rsidR="007F4791" w:rsidRPr="00A25F2C" w:rsidRDefault="007F4791" w:rsidP="007F4791">
      <w:pPr>
        <w:pStyle w:val="BodyText"/>
      </w:pPr>
      <w:r w:rsidRPr="00A25F2C">
        <w:t xml:space="preserve">Borrowings are planned to increase by $4028.7 million over the 2023-24 to 2027-28 planning period from $4630.4 million as </w:t>
      </w:r>
      <w:proofErr w:type="gramStart"/>
      <w:r w:rsidRPr="00A25F2C">
        <w:t>at</w:t>
      </w:r>
      <w:proofErr w:type="gramEnd"/>
      <w:r w:rsidRPr="00A25F2C">
        <w:t xml:space="preserve"> 30 June 2023 to $8659.1 million as at 30 June 2028.</w:t>
      </w:r>
    </w:p>
    <w:p w14:paraId="5A244C59" w14:textId="77777777" w:rsidR="007F4791" w:rsidRPr="00A25F2C" w:rsidRDefault="007F4791" w:rsidP="007F4791">
      <w:pPr>
        <w:pStyle w:val="BodyText"/>
      </w:pPr>
      <w:r w:rsidRPr="00A25F2C">
        <w:t>The increase in borrowings is primarily to fund the capital investment program while recurring operations are financed through cash from operating activities (refer to Appendices for further detail).</w:t>
      </w:r>
    </w:p>
    <w:p w14:paraId="3D91E952" w14:textId="77777777" w:rsidR="007F4791" w:rsidRPr="00A25F2C" w:rsidRDefault="007F4791" w:rsidP="007F4791">
      <w:pPr>
        <w:pStyle w:val="BodyText"/>
      </w:pPr>
      <w:r w:rsidRPr="00A25F2C">
        <w:lastRenderedPageBreak/>
        <w:t>Loans scheduled to mature over the planning period will be refinanced with Treasury Corporation of Victoria at forecast market rates.</w:t>
      </w:r>
    </w:p>
    <w:p w14:paraId="21B0B35A" w14:textId="77777777" w:rsidR="007F4791" w:rsidRPr="00A25F2C" w:rsidRDefault="007F4791" w:rsidP="008B27EB">
      <w:pPr>
        <w:pStyle w:val="Heading2"/>
      </w:pPr>
      <w:bookmarkStart w:id="57" w:name="_Toc147756905"/>
      <w:r w:rsidRPr="00A25F2C">
        <w:t>Borrowing Costs</w:t>
      </w:r>
      <w:bookmarkEnd w:id="57"/>
    </w:p>
    <w:p w14:paraId="12DD3EE4" w14:textId="77777777" w:rsidR="007F4791" w:rsidRPr="00A25F2C" w:rsidRDefault="007F4791" w:rsidP="007F4791">
      <w:pPr>
        <w:pStyle w:val="BodyText"/>
      </w:pPr>
      <w:r w:rsidRPr="00A25F2C">
        <w:t>Borrowing costs (excluding leases) are projected to increase over the 2023-24 to 2027-28 planning period. The increase in borrowing costs is in line with the increase in borrowings levels and interest rate forecasts, and this is partly offset through active debt management and the expiry of older debt at higher interest rates.</w:t>
      </w:r>
    </w:p>
    <w:p w14:paraId="4CC27756" w14:textId="77777777" w:rsidR="007F4791" w:rsidRPr="00A25F2C" w:rsidRDefault="007F4791" w:rsidP="007F4791">
      <w:pPr>
        <w:pStyle w:val="BodyText"/>
      </w:pPr>
      <w:r w:rsidRPr="00A25F2C">
        <w:t>The average projected cost of debt is expected to rise by 1.2 per cent to 4.5 per cent by 30 June 2028.</w:t>
      </w:r>
    </w:p>
    <w:p w14:paraId="5B68F528" w14:textId="77777777" w:rsidR="007F4791" w:rsidRPr="00A25F2C" w:rsidRDefault="007F4791" w:rsidP="007F4791">
      <w:pPr>
        <w:pStyle w:val="BodyText"/>
      </w:pPr>
      <w:r w:rsidRPr="00A25F2C">
        <w:t xml:space="preserve">Interest rates are based on the current debt portfolio with refinancing at expected market rates over the planning period. Should </w:t>
      </w:r>
      <w:proofErr w:type="gramStart"/>
      <w:r w:rsidRPr="00A25F2C">
        <w:t>actual</w:t>
      </w:r>
      <w:proofErr w:type="gramEnd"/>
      <w:r w:rsidRPr="00A25F2C">
        <w:t xml:space="preserve"> interest rates trend higher than projections this may result in increased borrowing costs. This, however, needs to be assessed in conjunction with the cost of debt allowance received through revenue to determine the impact on profit.</w:t>
      </w:r>
    </w:p>
    <w:p w14:paraId="6491F458" w14:textId="77777777" w:rsidR="007F4791" w:rsidRPr="00A25F2C" w:rsidRDefault="007F4791" w:rsidP="007F4791">
      <w:pPr>
        <w:pStyle w:val="BodyText"/>
      </w:pPr>
      <w:r w:rsidRPr="00A25F2C">
        <w:t>The 2023-24 Financial Accommodation Levy (FAL) rate of 0.89 per cent has been used in our forward projections as the Treasurer announces the rate for each upcoming financial year in June. Changes in the FAL rate will directly impact net profits and projected Cash to Government (refer to Payments to Government section for more detail).</w:t>
      </w:r>
    </w:p>
    <w:p w14:paraId="4E57B4A0" w14:textId="77777777" w:rsidR="007F4791" w:rsidRPr="00A25F2C" w:rsidRDefault="007F4791" w:rsidP="008B27EB">
      <w:pPr>
        <w:pStyle w:val="Heading2"/>
      </w:pPr>
      <w:bookmarkStart w:id="58" w:name="_Toc147756906"/>
      <w:r w:rsidRPr="00A25F2C">
        <w:t>Gearing</w:t>
      </w:r>
      <w:bookmarkEnd w:id="58"/>
    </w:p>
    <w:p w14:paraId="15B9441B" w14:textId="77777777" w:rsidR="007F4791" w:rsidRPr="00A25F2C" w:rsidRDefault="007F4791" w:rsidP="007F4791">
      <w:pPr>
        <w:pStyle w:val="BodyText"/>
      </w:pPr>
      <w:r w:rsidRPr="00A25F2C">
        <w:t xml:space="preserve">The Gearing ratio is expected to increase from a forecast of 47.8 per cent </w:t>
      </w:r>
      <w:proofErr w:type="gramStart"/>
      <w:r w:rsidRPr="00A25F2C">
        <w:t>at</w:t>
      </w:r>
      <w:proofErr w:type="gramEnd"/>
      <w:r w:rsidRPr="00A25F2C">
        <w:t xml:space="preserve"> 30 June 2023 to 55.8 per cent at 30 June 2028. Accounting asset revaluations that occur each year may impact the expected gearing ratio. Accounting asset revaluations have not been included in the plan as we are unable to predict the outcomes in advance.</w:t>
      </w:r>
    </w:p>
    <w:p w14:paraId="7F767B73" w14:textId="77777777" w:rsidR="007F4791" w:rsidRPr="00A25F2C" w:rsidRDefault="007F4791" w:rsidP="008B27EB">
      <w:pPr>
        <w:pStyle w:val="Heading2"/>
      </w:pPr>
      <w:bookmarkStart w:id="59" w:name="_Toc147756907"/>
      <w:r w:rsidRPr="00A25F2C">
        <w:t>Payments to Government</w:t>
      </w:r>
      <w:bookmarkEnd w:id="59"/>
    </w:p>
    <w:p w14:paraId="7F6ADB17" w14:textId="77777777" w:rsidR="007F4791" w:rsidRPr="00A25F2C" w:rsidRDefault="007F4791" w:rsidP="007F4791">
      <w:pPr>
        <w:pStyle w:val="BodyText"/>
      </w:pPr>
      <w:r w:rsidRPr="00A25F2C">
        <w:t>Payments to Government in the form of dividends, income tax and capital repatriations are expected to total $645.5 million over the 2023-24 to 2027-28 planning period (refer to Appendices for further detail). Dividend payments are based on the Government’s benchmark payout ratio of 65 per cent of pre-tax profit less income tax payable.</w:t>
      </w:r>
    </w:p>
    <w:p w14:paraId="363A8A13" w14:textId="49781D7C" w:rsidR="007F4791" w:rsidRPr="00A25F2C" w:rsidRDefault="007F4791" w:rsidP="007F4791">
      <w:pPr>
        <w:pStyle w:val="BodyText"/>
      </w:pPr>
      <w:r w:rsidRPr="00A25F2C">
        <w:t>Melbourne Water will also contribute to Government by way of the Financial Accommodation Levy of $242.6 million as well as the Environmental Contribution Levy and Local Government Rate Equivalents of $23.9 million over the 2023-24 to 2027-28 planning period.</w:t>
      </w:r>
    </w:p>
    <w:tbl>
      <w:tblPr>
        <w:tblStyle w:val="TableProfessional"/>
        <w:tblW w:w="5000" w:type="pct"/>
        <w:tblLook w:val="0620" w:firstRow="1" w:lastRow="0" w:firstColumn="0" w:lastColumn="0" w:noHBand="1" w:noVBand="1"/>
      </w:tblPr>
      <w:tblGrid>
        <w:gridCol w:w="2640"/>
        <w:gridCol w:w="968"/>
        <w:gridCol w:w="1067"/>
        <w:gridCol w:w="1005"/>
        <w:gridCol w:w="1004"/>
        <w:gridCol w:w="1005"/>
        <w:gridCol w:w="975"/>
        <w:gridCol w:w="967"/>
      </w:tblGrid>
      <w:tr w:rsidR="00E97A23" w:rsidRPr="00A25F2C" w14:paraId="434D7E03" w14:textId="77777777" w:rsidTr="00335623">
        <w:trPr>
          <w:cnfStyle w:val="100000000000" w:firstRow="1" w:lastRow="0" w:firstColumn="0" w:lastColumn="0" w:oddVBand="0" w:evenVBand="0" w:oddHBand="0" w:evenHBand="0" w:firstRowFirstColumn="0" w:firstRowLastColumn="0" w:lastRowFirstColumn="0" w:lastRowLastColumn="0"/>
          <w:cantSplit/>
        </w:trPr>
        <w:tc>
          <w:tcPr>
            <w:tcW w:w="1370" w:type="pct"/>
          </w:tcPr>
          <w:p w14:paraId="7ECFC946" w14:textId="7392E7D8" w:rsidR="007F4791" w:rsidRPr="00A25F2C" w:rsidRDefault="007F4791" w:rsidP="004E1FA1">
            <w:pPr>
              <w:pStyle w:val="TableBodyText"/>
            </w:pPr>
            <w:r w:rsidRPr="00A25F2C">
              <w:t>Nominal (</w:t>
            </w:r>
            <w:r w:rsidR="00E65500">
              <w:t>$ million</w:t>
            </w:r>
            <w:r w:rsidRPr="00A25F2C">
              <w:t>)</w:t>
            </w:r>
          </w:p>
        </w:tc>
        <w:tc>
          <w:tcPr>
            <w:tcW w:w="502" w:type="pct"/>
          </w:tcPr>
          <w:p w14:paraId="0469827C" w14:textId="77777777" w:rsidR="007F4791" w:rsidRPr="00A25F2C" w:rsidRDefault="007F4791" w:rsidP="00EA2D5D">
            <w:pPr>
              <w:pStyle w:val="TableBodyText"/>
              <w:jc w:val="right"/>
            </w:pPr>
            <w:r w:rsidRPr="00A25F2C">
              <w:t>2022-23</w:t>
            </w:r>
          </w:p>
          <w:p w14:paraId="5EBF92DB" w14:textId="77777777" w:rsidR="007F4791" w:rsidRPr="00A25F2C" w:rsidRDefault="007F4791" w:rsidP="00EA2D5D">
            <w:pPr>
              <w:pStyle w:val="TableBodyText"/>
              <w:jc w:val="right"/>
            </w:pPr>
            <w:r w:rsidRPr="00A25F2C">
              <w:t>Forecast</w:t>
            </w:r>
          </w:p>
        </w:tc>
        <w:tc>
          <w:tcPr>
            <w:tcW w:w="554" w:type="pct"/>
          </w:tcPr>
          <w:p w14:paraId="7671C428" w14:textId="77777777" w:rsidR="007F4791" w:rsidRPr="00A25F2C" w:rsidRDefault="007F4791" w:rsidP="00EA2D5D">
            <w:pPr>
              <w:pStyle w:val="TableBodyText"/>
              <w:jc w:val="right"/>
            </w:pPr>
            <w:r w:rsidRPr="00A25F2C">
              <w:t>2022-23</w:t>
            </w:r>
          </w:p>
          <w:p w14:paraId="057F2241" w14:textId="77777777" w:rsidR="007F4791" w:rsidRPr="00A25F2C" w:rsidRDefault="007F4791" w:rsidP="00EA2D5D">
            <w:pPr>
              <w:pStyle w:val="TableBodyText"/>
              <w:jc w:val="right"/>
            </w:pPr>
            <w:r w:rsidRPr="00A25F2C">
              <w:t>Plan</w:t>
            </w:r>
          </w:p>
        </w:tc>
        <w:tc>
          <w:tcPr>
            <w:tcW w:w="522" w:type="pct"/>
          </w:tcPr>
          <w:p w14:paraId="7951C47E" w14:textId="77777777" w:rsidR="007F4791" w:rsidRPr="00A25F2C" w:rsidRDefault="007F4791" w:rsidP="00EA2D5D">
            <w:pPr>
              <w:pStyle w:val="TableBodyText"/>
              <w:jc w:val="right"/>
            </w:pPr>
            <w:r w:rsidRPr="00A25F2C">
              <w:t>2023-24</w:t>
            </w:r>
          </w:p>
        </w:tc>
        <w:tc>
          <w:tcPr>
            <w:tcW w:w="521" w:type="pct"/>
          </w:tcPr>
          <w:p w14:paraId="50EC0E68" w14:textId="77777777" w:rsidR="007F4791" w:rsidRPr="00A25F2C" w:rsidRDefault="007F4791" w:rsidP="00EA2D5D">
            <w:pPr>
              <w:pStyle w:val="TableBodyText"/>
              <w:jc w:val="right"/>
            </w:pPr>
            <w:r w:rsidRPr="00A25F2C">
              <w:t>2024-25</w:t>
            </w:r>
          </w:p>
        </w:tc>
        <w:tc>
          <w:tcPr>
            <w:tcW w:w="522" w:type="pct"/>
          </w:tcPr>
          <w:p w14:paraId="0AF196B5" w14:textId="77777777" w:rsidR="007F4791" w:rsidRPr="00A25F2C" w:rsidRDefault="007F4791" w:rsidP="00EA2D5D">
            <w:pPr>
              <w:pStyle w:val="TableBodyText"/>
              <w:jc w:val="right"/>
            </w:pPr>
            <w:r w:rsidRPr="00A25F2C">
              <w:t>2025-26</w:t>
            </w:r>
          </w:p>
        </w:tc>
        <w:tc>
          <w:tcPr>
            <w:tcW w:w="506" w:type="pct"/>
          </w:tcPr>
          <w:p w14:paraId="712F58F2" w14:textId="77777777" w:rsidR="007F4791" w:rsidRPr="00A25F2C" w:rsidRDefault="007F4791" w:rsidP="00EA2D5D">
            <w:pPr>
              <w:pStyle w:val="TableBodyText"/>
              <w:jc w:val="right"/>
            </w:pPr>
            <w:r w:rsidRPr="00A25F2C">
              <w:t>2026-27</w:t>
            </w:r>
          </w:p>
        </w:tc>
        <w:tc>
          <w:tcPr>
            <w:tcW w:w="502" w:type="pct"/>
          </w:tcPr>
          <w:p w14:paraId="407428C9" w14:textId="77777777" w:rsidR="007F4791" w:rsidRPr="00A25F2C" w:rsidRDefault="007F4791" w:rsidP="00EA2D5D">
            <w:pPr>
              <w:pStyle w:val="TableBodyText"/>
              <w:jc w:val="right"/>
            </w:pPr>
            <w:r w:rsidRPr="00A25F2C">
              <w:t>2027-28</w:t>
            </w:r>
          </w:p>
        </w:tc>
      </w:tr>
      <w:tr w:rsidR="007F4791" w:rsidRPr="00A25F2C" w14:paraId="7EB1AC3F" w14:textId="77777777" w:rsidTr="00335623">
        <w:trPr>
          <w:cantSplit/>
        </w:trPr>
        <w:tc>
          <w:tcPr>
            <w:tcW w:w="1370" w:type="pct"/>
          </w:tcPr>
          <w:p w14:paraId="0EE80E83" w14:textId="77777777" w:rsidR="007F4791" w:rsidRPr="00A25F2C" w:rsidRDefault="007F4791" w:rsidP="004E1FA1">
            <w:pPr>
              <w:pStyle w:val="TableBodyText"/>
            </w:pPr>
            <w:r w:rsidRPr="00A25F2C">
              <w:t>Income Tax Paid</w:t>
            </w:r>
          </w:p>
        </w:tc>
        <w:tc>
          <w:tcPr>
            <w:tcW w:w="502" w:type="pct"/>
          </w:tcPr>
          <w:p w14:paraId="77816DC3" w14:textId="77777777" w:rsidR="007F4791" w:rsidRPr="00A25F2C" w:rsidRDefault="007F4791" w:rsidP="00EA2D5D">
            <w:pPr>
              <w:pStyle w:val="TableBodyText"/>
              <w:jc w:val="right"/>
            </w:pPr>
            <w:r w:rsidRPr="00A25F2C">
              <w:t>110.7</w:t>
            </w:r>
          </w:p>
        </w:tc>
        <w:tc>
          <w:tcPr>
            <w:tcW w:w="554" w:type="pct"/>
          </w:tcPr>
          <w:p w14:paraId="3B5CB831" w14:textId="77777777" w:rsidR="007F4791" w:rsidRPr="00A25F2C" w:rsidRDefault="007F4791" w:rsidP="00EA2D5D">
            <w:pPr>
              <w:pStyle w:val="TableBodyText"/>
              <w:jc w:val="right"/>
            </w:pPr>
            <w:r w:rsidRPr="00A25F2C">
              <w:t>102.1</w:t>
            </w:r>
          </w:p>
        </w:tc>
        <w:tc>
          <w:tcPr>
            <w:tcW w:w="522" w:type="pct"/>
          </w:tcPr>
          <w:p w14:paraId="6F130E6F" w14:textId="77777777" w:rsidR="007F4791" w:rsidRPr="00A25F2C" w:rsidRDefault="007F4791" w:rsidP="00EA2D5D">
            <w:pPr>
              <w:pStyle w:val="TableBodyText"/>
              <w:jc w:val="right"/>
            </w:pPr>
            <w:r w:rsidRPr="00A25F2C">
              <w:t>120.8</w:t>
            </w:r>
          </w:p>
        </w:tc>
        <w:tc>
          <w:tcPr>
            <w:tcW w:w="521" w:type="pct"/>
          </w:tcPr>
          <w:p w14:paraId="491DA1F9" w14:textId="77777777" w:rsidR="007F4791" w:rsidRPr="00A25F2C" w:rsidRDefault="007F4791" w:rsidP="00EA2D5D">
            <w:pPr>
              <w:pStyle w:val="TableBodyText"/>
              <w:jc w:val="right"/>
            </w:pPr>
            <w:r w:rsidRPr="00A25F2C">
              <w:t>96.3</w:t>
            </w:r>
          </w:p>
        </w:tc>
        <w:tc>
          <w:tcPr>
            <w:tcW w:w="522" w:type="pct"/>
          </w:tcPr>
          <w:p w14:paraId="10DBABCC" w14:textId="77777777" w:rsidR="007F4791" w:rsidRPr="00A25F2C" w:rsidRDefault="007F4791" w:rsidP="00EA2D5D">
            <w:pPr>
              <w:pStyle w:val="TableBodyText"/>
              <w:jc w:val="right"/>
            </w:pPr>
            <w:r w:rsidRPr="00A25F2C">
              <w:t>109.8</w:t>
            </w:r>
          </w:p>
        </w:tc>
        <w:tc>
          <w:tcPr>
            <w:tcW w:w="506" w:type="pct"/>
          </w:tcPr>
          <w:p w14:paraId="565A5885" w14:textId="77777777" w:rsidR="007F4791" w:rsidRPr="00A25F2C" w:rsidRDefault="007F4791" w:rsidP="00EA2D5D">
            <w:pPr>
              <w:pStyle w:val="TableBodyText"/>
              <w:jc w:val="right"/>
            </w:pPr>
            <w:r w:rsidRPr="00A25F2C">
              <w:t>101.1</w:t>
            </w:r>
          </w:p>
        </w:tc>
        <w:tc>
          <w:tcPr>
            <w:tcW w:w="502" w:type="pct"/>
          </w:tcPr>
          <w:p w14:paraId="6302D4FC" w14:textId="77777777" w:rsidR="007F4791" w:rsidRPr="00A25F2C" w:rsidRDefault="007F4791" w:rsidP="00EA2D5D">
            <w:pPr>
              <w:pStyle w:val="TableBodyText"/>
              <w:jc w:val="right"/>
            </w:pPr>
            <w:r w:rsidRPr="00A25F2C">
              <w:t>74.1</w:t>
            </w:r>
          </w:p>
        </w:tc>
      </w:tr>
      <w:tr w:rsidR="007F4791" w:rsidRPr="00A25F2C" w14:paraId="66DA648F" w14:textId="77777777" w:rsidTr="00335623">
        <w:trPr>
          <w:cantSplit/>
        </w:trPr>
        <w:tc>
          <w:tcPr>
            <w:tcW w:w="1370" w:type="pct"/>
          </w:tcPr>
          <w:p w14:paraId="0129F1E3" w14:textId="77777777" w:rsidR="007F4791" w:rsidRPr="00A25F2C" w:rsidRDefault="007F4791" w:rsidP="004E1FA1">
            <w:pPr>
              <w:pStyle w:val="TableBodyText"/>
            </w:pPr>
            <w:r w:rsidRPr="00A25F2C">
              <w:t>Dividend Paid</w:t>
            </w:r>
          </w:p>
        </w:tc>
        <w:tc>
          <w:tcPr>
            <w:tcW w:w="502" w:type="pct"/>
          </w:tcPr>
          <w:p w14:paraId="413154D3" w14:textId="77777777" w:rsidR="007F4791" w:rsidRPr="00A25F2C" w:rsidRDefault="007F4791" w:rsidP="00EA2D5D">
            <w:pPr>
              <w:pStyle w:val="TableBodyText"/>
              <w:jc w:val="right"/>
            </w:pPr>
            <w:r w:rsidRPr="00A25F2C">
              <w:t>12.3</w:t>
            </w:r>
          </w:p>
        </w:tc>
        <w:tc>
          <w:tcPr>
            <w:tcW w:w="554" w:type="pct"/>
          </w:tcPr>
          <w:p w14:paraId="1C9007CF" w14:textId="75741D89" w:rsidR="007F4791" w:rsidRPr="00A25F2C" w:rsidRDefault="00995D31" w:rsidP="00EA2D5D">
            <w:pPr>
              <w:pStyle w:val="TableBodyText"/>
              <w:jc w:val="right"/>
            </w:pPr>
            <w:r>
              <w:t>N/A</w:t>
            </w:r>
            <w:r w:rsidR="007F4791" w:rsidRPr="00A25F2C">
              <w:t>-</w:t>
            </w:r>
          </w:p>
        </w:tc>
        <w:tc>
          <w:tcPr>
            <w:tcW w:w="522" w:type="pct"/>
          </w:tcPr>
          <w:p w14:paraId="5C885761" w14:textId="77777777" w:rsidR="007F4791" w:rsidRPr="00A25F2C" w:rsidRDefault="007F4791" w:rsidP="00EA2D5D">
            <w:pPr>
              <w:pStyle w:val="TableBodyText"/>
              <w:jc w:val="right"/>
            </w:pPr>
            <w:r w:rsidRPr="00A25F2C">
              <w:t>7.3</w:t>
            </w:r>
          </w:p>
        </w:tc>
        <w:tc>
          <w:tcPr>
            <w:tcW w:w="521" w:type="pct"/>
          </w:tcPr>
          <w:p w14:paraId="758D1381" w14:textId="77777777" w:rsidR="007F4791" w:rsidRPr="00A25F2C" w:rsidRDefault="007F4791" w:rsidP="00EA2D5D">
            <w:pPr>
              <w:pStyle w:val="TableBodyText"/>
              <w:jc w:val="right"/>
            </w:pPr>
            <w:r w:rsidRPr="00A25F2C">
              <w:t>11.8</w:t>
            </w:r>
          </w:p>
        </w:tc>
        <w:tc>
          <w:tcPr>
            <w:tcW w:w="522" w:type="pct"/>
          </w:tcPr>
          <w:p w14:paraId="403231F3" w14:textId="77777777" w:rsidR="007F4791" w:rsidRPr="00A25F2C" w:rsidRDefault="007F4791" w:rsidP="00EA2D5D">
            <w:pPr>
              <w:pStyle w:val="TableBodyText"/>
              <w:jc w:val="right"/>
            </w:pPr>
            <w:r w:rsidRPr="00A25F2C">
              <w:t>18.3</w:t>
            </w:r>
          </w:p>
        </w:tc>
        <w:tc>
          <w:tcPr>
            <w:tcW w:w="506" w:type="pct"/>
          </w:tcPr>
          <w:p w14:paraId="60B31B4E" w14:textId="77777777" w:rsidR="007F4791" w:rsidRPr="00A25F2C" w:rsidRDefault="007F4791" w:rsidP="00EA2D5D">
            <w:pPr>
              <w:pStyle w:val="TableBodyText"/>
              <w:jc w:val="right"/>
            </w:pPr>
            <w:r w:rsidRPr="00A25F2C">
              <w:t>34.7</w:t>
            </w:r>
          </w:p>
        </w:tc>
        <w:tc>
          <w:tcPr>
            <w:tcW w:w="502" w:type="pct"/>
          </w:tcPr>
          <w:p w14:paraId="522B6BFB" w14:textId="77777777" w:rsidR="007F4791" w:rsidRPr="00A25F2C" w:rsidRDefault="007F4791" w:rsidP="00EA2D5D">
            <w:pPr>
              <w:pStyle w:val="TableBodyText"/>
              <w:jc w:val="right"/>
            </w:pPr>
            <w:r w:rsidRPr="00A25F2C">
              <w:t>30.9</w:t>
            </w:r>
          </w:p>
        </w:tc>
      </w:tr>
      <w:tr w:rsidR="00E97A23" w:rsidRPr="00A25F2C" w14:paraId="4320D9D6" w14:textId="77777777" w:rsidTr="00335623">
        <w:trPr>
          <w:cantSplit/>
        </w:trPr>
        <w:tc>
          <w:tcPr>
            <w:tcW w:w="1370" w:type="pct"/>
          </w:tcPr>
          <w:p w14:paraId="63509CC3" w14:textId="77777777" w:rsidR="007F4791" w:rsidRPr="00A25F2C" w:rsidRDefault="007F4791" w:rsidP="004E1FA1">
            <w:pPr>
              <w:pStyle w:val="TableBodyText"/>
            </w:pPr>
            <w:r w:rsidRPr="00A25F2C">
              <w:rPr>
                <w:b/>
              </w:rPr>
              <w:t>Sub Total</w:t>
            </w:r>
          </w:p>
        </w:tc>
        <w:tc>
          <w:tcPr>
            <w:tcW w:w="502" w:type="pct"/>
          </w:tcPr>
          <w:p w14:paraId="269AC460" w14:textId="77777777" w:rsidR="007F4791" w:rsidRPr="00A25F2C" w:rsidRDefault="007F4791" w:rsidP="00EA2D5D">
            <w:pPr>
              <w:pStyle w:val="TableBodyText"/>
              <w:jc w:val="right"/>
            </w:pPr>
            <w:r w:rsidRPr="00A25F2C">
              <w:rPr>
                <w:b/>
              </w:rPr>
              <w:t>123.0</w:t>
            </w:r>
          </w:p>
        </w:tc>
        <w:tc>
          <w:tcPr>
            <w:tcW w:w="554" w:type="pct"/>
          </w:tcPr>
          <w:p w14:paraId="1A6C610E" w14:textId="77777777" w:rsidR="007F4791" w:rsidRPr="00A25F2C" w:rsidRDefault="007F4791" w:rsidP="00EA2D5D">
            <w:pPr>
              <w:pStyle w:val="TableBodyText"/>
              <w:jc w:val="right"/>
            </w:pPr>
            <w:r w:rsidRPr="00A25F2C">
              <w:rPr>
                <w:b/>
              </w:rPr>
              <w:t>102.1</w:t>
            </w:r>
          </w:p>
        </w:tc>
        <w:tc>
          <w:tcPr>
            <w:tcW w:w="522" w:type="pct"/>
          </w:tcPr>
          <w:p w14:paraId="4AD4292E" w14:textId="77777777" w:rsidR="007F4791" w:rsidRPr="00A25F2C" w:rsidRDefault="007F4791" w:rsidP="00EA2D5D">
            <w:pPr>
              <w:pStyle w:val="TableBodyText"/>
              <w:jc w:val="right"/>
            </w:pPr>
            <w:r w:rsidRPr="00A25F2C">
              <w:rPr>
                <w:b/>
              </w:rPr>
              <w:t>128.1</w:t>
            </w:r>
          </w:p>
        </w:tc>
        <w:tc>
          <w:tcPr>
            <w:tcW w:w="521" w:type="pct"/>
          </w:tcPr>
          <w:p w14:paraId="483CB469" w14:textId="77777777" w:rsidR="007F4791" w:rsidRPr="00A25F2C" w:rsidRDefault="007F4791" w:rsidP="00EA2D5D">
            <w:pPr>
              <w:pStyle w:val="TableBodyText"/>
              <w:jc w:val="right"/>
            </w:pPr>
            <w:r w:rsidRPr="00A25F2C">
              <w:rPr>
                <w:b/>
              </w:rPr>
              <w:t>108.1</w:t>
            </w:r>
          </w:p>
        </w:tc>
        <w:tc>
          <w:tcPr>
            <w:tcW w:w="522" w:type="pct"/>
          </w:tcPr>
          <w:p w14:paraId="5BE1ECCB" w14:textId="77777777" w:rsidR="007F4791" w:rsidRPr="00A25F2C" w:rsidRDefault="007F4791" w:rsidP="00EA2D5D">
            <w:pPr>
              <w:pStyle w:val="TableBodyText"/>
              <w:jc w:val="right"/>
            </w:pPr>
            <w:r w:rsidRPr="00A25F2C">
              <w:rPr>
                <w:b/>
              </w:rPr>
              <w:t>128.1</w:t>
            </w:r>
          </w:p>
        </w:tc>
        <w:tc>
          <w:tcPr>
            <w:tcW w:w="506" w:type="pct"/>
          </w:tcPr>
          <w:p w14:paraId="054620FC" w14:textId="77777777" w:rsidR="007F4791" w:rsidRPr="00A25F2C" w:rsidRDefault="007F4791" w:rsidP="00EA2D5D">
            <w:pPr>
              <w:pStyle w:val="TableBodyText"/>
              <w:jc w:val="right"/>
            </w:pPr>
            <w:r w:rsidRPr="00A25F2C">
              <w:rPr>
                <w:b/>
              </w:rPr>
              <w:t>135.8</w:t>
            </w:r>
          </w:p>
        </w:tc>
        <w:tc>
          <w:tcPr>
            <w:tcW w:w="502" w:type="pct"/>
          </w:tcPr>
          <w:p w14:paraId="6E6C12F9" w14:textId="77777777" w:rsidR="007F4791" w:rsidRPr="00A25F2C" w:rsidRDefault="007F4791" w:rsidP="00EA2D5D">
            <w:pPr>
              <w:pStyle w:val="TableBodyText"/>
              <w:jc w:val="right"/>
              <w:rPr>
                <w:b/>
              </w:rPr>
            </w:pPr>
            <w:r w:rsidRPr="00A25F2C">
              <w:rPr>
                <w:b/>
              </w:rPr>
              <w:t>105.0</w:t>
            </w:r>
          </w:p>
        </w:tc>
      </w:tr>
      <w:tr w:rsidR="007F4791" w:rsidRPr="00A25F2C" w14:paraId="6A302ED0" w14:textId="77777777" w:rsidTr="00335623">
        <w:trPr>
          <w:cantSplit/>
        </w:trPr>
        <w:tc>
          <w:tcPr>
            <w:tcW w:w="1370" w:type="pct"/>
          </w:tcPr>
          <w:p w14:paraId="5E51B87D" w14:textId="77777777" w:rsidR="007F4791" w:rsidRPr="00A25F2C" w:rsidRDefault="007F4791" w:rsidP="004E1FA1">
            <w:pPr>
              <w:pStyle w:val="TableBodyText"/>
            </w:pPr>
            <w:r w:rsidRPr="00A25F2C">
              <w:t>Local Government Rate Equivalent</w:t>
            </w:r>
          </w:p>
        </w:tc>
        <w:tc>
          <w:tcPr>
            <w:tcW w:w="502" w:type="pct"/>
          </w:tcPr>
          <w:p w14:paraId="001F73C6" w14:textId="77777777" w:rsidR="007F4791" w:rsidRPr="00A25F2C" w:rsidRDefault="007F4791" w:rsidP="00EA2D5D">
            <w:pPr>
              <w:pStyle w:val="TableBodyText"/>
              <w:jc w:val="right"/>
            </w:pPr>
            <w:r w:rsidRPr="00A25F2C">
              <w:t>4.0</w:t>
            </w:r>
          </w:p>
        </w:tc>
        <w:tc>
          <w:tcPr>
            <w:tcW w:w="554" w:type="pct"/>
          </w:tcPr>
          <w:p w14:paraId="51A916AB" w14:textId="77777777" w:rsidR="007F4791" w:rsidRPr="00A25F2C" w:rsidRDefault="007F4791" w:rsidP="00EA2D5D">
            <w:pPr>
              <w:pStyle w:val="TableBodyText"/>
              <w:jc w:val="right"/>
            </w:pPr>
            <w:r w:rsidRPr="00A25F2C">
              <w:t>3.8</w:t>
            </w:r>
          </w:p>
        </w:tc>
        <w:tc>
          <w:tcPr>
            <w:tcW w:w="522" w:type="pct"/>
          </w:tcPr>
          <w:p w14:paraId="5ED7909D" w14:textId="77777777" w:rsidR="007F4791" w:rsidRPr="00A25F2C" w:rsidRDefault="007F4791" w:rsidP="00EA2D5D">
            <w:pPr>
              <w:pStyle w:val="TableBodyText"/>
              <w:jc w:val="right"/>
            </w:pPr>
            <w:r w:rsidRPr="00A25F2C">
              <w:t>3.8</w:t>
            </w:r>
          </w:p>
        </w:tc>
        <w:tc>
          <w:tcPr>
            <w:tcW w:w="521" w:type="pct"/>
          </w:tcPr>
          <w:p w14:paraId="0ED3ADE1" w14:textId="77777777" w:rsidR="007F4791" w:rsidRPr="00A25F2C" w:rsidRDefault="007F4791" w:rsidP="00EA2D5D">
            <w:pPr>
              <w:pStyle w:val="TableBodyText"/>
              <w:jc w:val="right"/>
            </w:pPr>
            <w:r w:rsidRPr="00A25F2C">
              <w:t>3.9</w:t>
            </w:r>
          </w:p>
        </w:tc>
        <w:tc>
          <w:tcPr>
            <w:tcW w:w="522" w:type="pct"/>
          </w:tcPr>
          <w:p w14:paraId="69C25838" w14:textId="77777777" w:rsidR="007F4791" w:rsidRPr="00A25F2C" w:rsidRDefault="007F4791" w:rsidP="00EA2D5D">
            <w:pPr>
              <w:pStyle w:val="TableBodyText"/>
              <w:jc w:val="right"/>
            </w:pPr>
            <w:r w:rsidRPr="00A25F2C">
              <w:t>3.9</w:t>
            </w:r>
          </w:p>
        </w:tc>
        <w:tc>
          <w:tcPr>
            <w:tcW w:w="506" w:type="pct"/>
          </w:tcPr>
          <w:p w14:paraId="5FBF411F" w14:textId="77777777" w:rsidR="007F4791" w:rsidRPr="00A25F2C" w:rsidRDefault="007F4791" w:rsidP="00EA2D5D">
            <w:pPr>
              <w:pStyle w:val="TableBodyText"/>
              <w:jc w:val="right"/>
            </w:pPr>
            <w:r w:rsidRPr="00A25F2C">
              <w:t>3.9</w:t>
            </w:r>
          </w:p>
        </w:tc>
        <w:tc>
          <w:tcPr>
            <w:tcW w:w="502" w:type="pct"/>
          </w:tcPr>
          <w:p w14:paraId="473227DD" w14:textId="77777777" w:rsidR="007F4791" w:rsidRPr="00A25F2C" w:rsidRDefault="007F4791" w:rsidP="00EA2D5D">
            <w:pPr>
              <w:pStyle w:val="TableBodyText"/>
              <w:jc w:val="right"/>
            </w:pPr>
            <w:r w:rsidRPr="00A25F2C">
              <w:t>4.0</w:t>
            </w:r>
          </w:p>
        </w:tc>
      </w:tr>
      <w:tr w:rsidR="007F4791" w:rsidRPr="00A25F2C" w14:paraId="776BECD5" w14:textId="77777777" w:rsidTr="00335623">
        <w:trPr>
          <w:cantSplit/>
        </w:trPr>
        <w:tc>
          <w:tcPr>
            <w:tcW w:w="1370" w:type="pct"/>
          </w:tcPr>
          <w:p w14:paraId="5580C01F" w14:textId="77777777" w:rsidR="007F4791" w:rsidRPr="00A25F2C" w:rsidRDefault="007F4791" w:rsidP="004E1FA1">
            <w:pPr>
              <w:pStyle w:val="TableBodyText"/>
            </w:pPr>
            <w:r w:rsidRPr="00A25F2C">
              <w:t>Financial Accommodation Levy</w:t>
            </w:r>
          </w:p>
        </w:tc>
        <w:tc>
          <w:tcPr>
            <w:tcW w:w="502" w:type="pct"/>
          </w:tcPr>
          <w:p w14:paraId="475747F1" w14:textId="77777777" w:rsidR="007F4791" w:rsidRPr="00A25F2C" w:rsidRDefault="007F4791" w:rsidP="00EA2D5D">
            <w:pPr>
              <w:pStyle w:val="TableBodyText"/>
              <w:jc w:val="right"/>
            </w:pPr>
            <w:r w:rsidRPr="00A25F2C">
              <w:t>32.3</w:t>
            </w:r>
          </w:p>
        </w:tc>
        <w:tc>
          <w:tcPr>
            <w:tcW w:w="554" w:type="pct"/>
          </w:tcPr>
          <w:p w14:paraId="7A6FCADA" w14:textId="77777777" w:rsidR="007F4791" w:rsidRPr="00A25F2C" w:rsidRDefault="007F4791" w:rsidP="00EA2D5D">
            <w:pPr>
              <w:pStyle w:val="TableBodyText"/>
              <w:jc w:val="right"/>
            </w:pPr>
            <w:r w:rsidRPr="00A25F2C">
              <w:t>34.5</w:t>
            </w:r>
          </w:p>
        </w:tc>
        <w:tc>
          <w:tcPr>
            <w:tcW w:w="522" w:type="pct"/>
          </w:tcPr>
          <w:p w14:paraId="2DC61963" w14:textId="77777777" w:rsidR="007F4791" w:rsidRPr="00A25F2C" w:rsidRDefault="007F4791" w:rsidP="00EA2D5D">
            <w:pPr>
              <w:pStyle w:val="TableBodyText"/>
              <w:jc w:val="right"/>
            </w:pPr>
            <w:r w:rsidRPr="00A25F2C">
              <w:t>35.3</w:t>
            </w:r>
          </w:p>
        </w:tc>
        <w:tc>
          <w:tcPr>
            <w:tcW w:w="521" w:type="pct"/>
          </w:tcPr>
          <w:p w14:paraId="23C8BF1D" w14:textId="77777777" w:rsidR="007F4791" w:rsidRPr="00A25F2C" w:rsidRDefault="007F4791" w:rsidP="00EA2D5D">
            <w:pPr>
              <w:pStyle w:val="TableBodyText"/>
              <w:jc w:val="right"/>
            </w:pPr>
            <w:r w:rsidRPr="00A25F2C">
              <w:t>42.8</w:t>
            </w:r>
          </w:p>
        </w:tc>
        <w:tc>
          <w:tcPr>
            <w:tcW w:w="522" w:type="pct"/>
          </w:tcPr>
          <w:p w14:paraId="67586E56" w14:textId="77777777" w:rsidR="007F4791" w:rsidRPr="00A25F2C" w:rsidRDefault="007F4791" w:rsidP="00EA2D5D">
            <w:pPr>
              <w:pStyle w:val="TableBodyText"/>
              <w:jc w:val="right"/>
            </w:pPr>
            <w:r w:rsidRPr="00A25F2C">
              <w:t>47.1</w:t>
            </w:r>
          </w:p>
        </w:tc>
        <w:tc>
          <w:tcPr>
            <w:tcW w:w="506" w:type="pct"/>
          </w:tcPr>
          <w:p w14:paraId="468DB8ED" w14:textId="77777777" w:rsidR="007F4791" w:rsidRPr="00A25F2C" w:rsidRDefault="007F4791" w:rsidP="00EA2D5D">
            <w:pPr>
              <w:pStyle w:val="TableBodyText"/>
              <w:jc w:val="right"/>
            </w:pPr>
            <w:r w:rsidRPr="00A25F2C">
              <w:t>53.6</w:t>
            </w:r>
          </w:p>
        </w:tc>
        <w:tc>
          <w:tcPr>
            <w:tcW w:w="502" w:type="pct"/>
          </w:tcPr>
          <w:p w14:paraId="45FC3437" w14:textId="77777777" w:rsidR="007F4791" w:rsidRPr="00A25F2C" w:rsidRDefault="007F4791" w:rsidP="00EA2D5D">
            <w:pPr>
              <w:pStyle w:val="TableBodyText"/>
              <w:jc w:val="right"/>
            </w:pPr>
            <w:r w:rsidRPr="00A25F2C">
              <w:t>63.8</w:t>
            </w:r>
          </w:p>
        </w:tc>
      </w:tr>
      <w:tr w:rsidR="007F4791" w:rsidRPr="00A25F2C" w14:paraId="71ECD141" w14:textId="77777777" w:rsidTr="00335623">
        <w:trPr>
          <w:cantSplit/>
        </w:trPr>
        <w:tc>
          <w:tcPr>
            <w:tcW w:w="1370" w:type="pct"/>
          </w:tcPr>
          <w:p w14:paraId="026992D5" w14:textId="77777777" w:rsidR="007F4791" w:rsidRPr="00A25F2C" w:rsidRDefault="007F4791" w:rsidP="004E1FA1">
            <w:pPr>
              <w:pStyle w:val="TableBodyText"/>
            </w:pPr>
            <w:r w:rsidRPr="00A25F2C">
              <w:t>Environmental Contribution Levy</w:t>
            </w:r>
          </w:p>
        </w:tc>
        <w:tc>
          <w:tcPr>
            <w:tcW w:w="502" w:type="pct"/>
          </w:tcPr>
          <w:p w14:paraId="273294C7" w14:textId="77777777" w:rsidR="007F4791" w:rsidRPr="00A25F2C" w:rsidRDefault="007F4791" w:rsidP="00EA2D5D">
            <w:pPr>
              <w:pStyle w:val="TableBodyText"/>
              <w:jc w:val="right"/>
            </w:pPr>
            <w:r w:rsidRPr="00A25F2C">
              <w:t>0.8</w:t>
            </w:r>
          </w:p>
        </w:tc>
        <w:tc>
          <w:tcPr>
            <w:tcW w:w="554" w:type="pct"/>
          </w:tcPr>
          <w:p w14:paraId="5A824DE4" w14:textId="77777777" w:rsidR="007F4791" w:rsidRPr="00A25F2C" w:rsidRDefault="007F4791" w:rsidP="00EA2D5D">
            <w:pPr>
              <w:pStyle w:val="TableBodyText"/>
              <w:jc w:val="right"/>
            </w:pPr>
            <w:r w:rsidRPr="00A25F2C">
              <w:t>0.8</w:t>
            </w:r>
          </w:p>
        </w:tc>
        <w:tc>
          <w:tcPr>
            <w:tcW w:w="522" w:type="pct"/>
          </w:tcPr>
          <w:p w14:paraId="53F30C21" w14:textId="77777777" w:rsidR="007F4791" w:rsidRPr="00A25F2C" w:rsidRDefault="007F4791" w:rsidP="00EA2D5D">
            <w:pPr>
              <w:pStyle w:val="TableBodyText"/>
              <w:jc w:val="right"/>
            </w:pPr>
            <w:r w:rsidRPr="00A25F2C">
              <w:t>0.8</w:t>
            </w:r>
          </w:p>
        </w:tc>
        <w:tc>
          <w:tcPr>
            <w:tcW w:w="521" w:type="pct"/>
          </w:tcPr>
          <w:p w14:paraId="2E2521D6" w14:textId="77777777" w:rsidR="007F4791" w:rsidRPr="00A25F2C" w:rsidRDefault="007F4791" w:rsidP="00EA2D5D">
            <w:pPr>
              <w:pStyle w:val="TableBodyText"/>
              <w:jc w:val="right"/>
            </w:pPr>
            <w:r w:rsidRPr="00A25F2C">
              <w:t>0.9</w:t>
            </w:r>
          </w:p>
        </w:tc>
        <w:tc>
          <w:tcPr>
            <w:tcW w:w="522" w:type="pct"/>
          </w:tcPr>
          <w:p w14:paraId="618FCC08" w14:textId="77777777" w:rsidR="007F4791" w:rsidRPr="00A25F2C" w:rsidRDefault="007F4791" w:rsidP="00EA2D5D">
            <w:pPr>
              <w:pStyle w:val="TableBodyText"/>
              <w:jc w:val="right"/>
            </w:pPr>
            <w:r w:rsidRPr="00A25F2C">
              <w:t>0.9</w:t>
            </w:r>
          </w:p>
        </w:tc>
        <w:tc>
          <w:tcPr>
            <w:tcW w:w="506" w:type="pct"/>
          </w:tcPr>
          <w:p w14:paraId="64933F12" w14:textId="77777777" w:rsidR="007F4791" w:rsidRPr="00A25F2C" w:rsidRDefault="007F4791" w:rsidP="00EA2D5D">
            <w:pPr>
              <w:pStyle w:val="TableBodyText"/>
              <w:jc w:val="right"/>
            </w:pPr>
            <w:r w:rsidRPr="00A25F2C">
              <w:t>0.9</w:t>
            </w:r>
          </w:p>
        </w:tc>
        <w:tc>
          <w:tcPr>
            <w:tcW w:w="502" w:type="pct"/>
          </w:tcPr>
          <w:p w14:paraId="7FE79284" w14:textId="77777777" w:rsidR="007F4791" w:rsidRPr="00A25F2C" w:rsidRDefault="007F4791" w:rsidP="00EA2D5D">
            <w:pPr>
              <w:pStyle w:val="TableBodyText"/>
              <w:jc w:val="right"/>
            </w:pPr>
            <w:r w:rsidRPr="00A25F2C">
              <w:t>0.9</w:t>
            </w:r>
          </w:p>
        </w:tc>
      </w:tr>
      <w:tr w:rsidR="007F4791" w:rsidRPr="00A25F2C" w14:paraId="350086BE" w14:textId="77777777" w:rsidTr="00335623">
        <w:trPr>
          <w:cantSplit/>
        </w:trPr>
        <w:tc>
          <w:tcPr>
            <w:tcW w:w="1370" w:type="pct"/>
          </w:tcPr>
          <w:p w14:paraId="25249BD5" w14:textId="77777777" w:rsidR="007F4791" w:rsidRPr="00A25F2C" w:rsidRDefault="007F4791" w:rsidP="004E1FA1">
            <w:pPr>
              <w:pStyle w:val="TableBodyText"/>
            </w:pPr>
            <w:r w:rsidRPr="00A25F2C">
              <w:lastRenderedPageBreak/>
              <w:t>Capital Repatriation</w:t>
            </w:r>
          </w:p>
        </w:tc>
        <w:tc>
          <w:tcPr>
            <w:tcW w:w="502" w:type="pct"/>
          </w:tcPr>
          <w:p w14:paraId="087AFF8B" w14:textId="77777777" w:rsidR="007F4791" w:rsidRPr="00A25F2C" w:rsidRDefault="007F4791" w:rsidP="00EA2D5D">
            <w:pPr>
              <w:pStyle w:val="TableBodyText"/>
              <w:jc w:val="right"/>
            </w:pPr>
            <w:r w:rsidRPr="00A25F2C">
              <w:t>40.4</w:t>
            </w:r>
          </w:p>
        </w:tc>
        <w:tc>
          <w:tcPr>
            <w:tcW w:w="554" w:type="pct"/>
          </w:tcPr>
          <w:p w14:paraId="71AA1DB5" w14:textId="77777777" w:rsidR="007F4791" w:rsidRPr="00A25F2C" w:rsidRDefault="007F4791" w:rsidP="00EA2D5D">
            <w:pPr>
              <w:pStyle w:val="TableBodyText"/>
              <w:jc w:val="right"/>
            </w:pPr>
            <w:r w:rsidRPr="00A25F2C">
              <w:t>40.4</w:t>
            </w:r>
          </w:p>
        </w:tc>
        <w:tc>
          <w:tcPr>
            <w:tcW w:w="522" w:type="pct"/>
          </w:tcPr>
          <w:p w14:paraId="26429B05" w14:textId="77777777" w:rsidR="007F4791" w:rsidRPr="00A25F2C" w:rsidRDefault="007F4791" w:rsidP="00EA2D5D">
            <w:pPr>
              <w:pStyle w:val="TableBodyText"/>
              <w:jc w:val="right"/>
            </w:pPr>
            <w:r w:rsidRPr="00A25F2C">
              <w:t>40.4</w:t>
            </w:r>
          </w:p>
        </w:tc>
        <w:tc>
          <w:tcPr>
            <w:tcW w:w="521" w:type="pct"/>
          </w:tcPr>
          <w:p w14:paraId="6441E8CE" w14:textId="01A278CD" w:rsidR="007F4791" w:rsidRPr="00A25F2C" w:rsidRDefault="00995D31" w:rsidP="00EA2D5D">
            <w:pPr>
              <w:pStyle w:val="TableBodyText"/>
              <w:jc w:val="right"/>
            </w:pPr>
            <w:r>
              <w:t>N/A</w:t>
            </w:r>
          </w:p>
        </w:tc>
        <w:tc>
          <w:tcPr>
            <w:tcW w:w="522" w:type="pct"/>
          </w:tcPr>
          <w:p w14:paraId="4F8D0672" w14:textId="2F9F82D6" w:rsidR="007F4791" w:rsidRPr="00A25F2C" w:rsidRDefault="00995D31" w:rsidP="00EA2D5D">
            <w:pPr>
              <w:pStyle w:val="TableBodyText"/>
              <w:jc w:val="right"/>
            </w:pPr>
            <w:r>
              <w:t>N/A</w:t>
            </w:r>
          </w:p>
        </w:tc>
        <w:tc>
          <w:tcPr>
            <w:tcW w:w="506" w:type="pct"/>
          </w:tcPr>
          <w:p w14:paraId="703D148F" w14:textId="46CAA220" w:rsidR="007F4791" w:rsidRPr="00A25F2C" w:rsidRDefault="00995D31" w:rsidP="00EA2D5D">
            <w:pPr>
              <w:pStyle w:val="TableBodyText"/>
              <w:jc w:val="right"/>
            </w:pPr>
            <w:r>
              <w:t>N/A</w:t>
            </w:r>
          </w:p>
        </w:tc>
        <w:tc>
          <w:tcPr>
            <w:tcW w:w="502" w:type="pct"/>
          </w:tcPr>
          <w:p w14:paraId="724AA749" w14:textId="1B936B96" w:rsidR="007F4791" w:rsidRPr="00A25F2C" w:rsidRDefault="00995D31" w:rsidP="00EA2D5D">
            <w:pPr>
              <w:pStyle w:val="TableBodyText"/>
              <w:jc w:val="right"/>
            </w:pPr>
            <w:r>
              <w:t>N/A</w:t>
            </w:r>
          </w:p>
        </w:tc>
      </w:tr>
      <w:tr w:rsidR="00E97A23" w:rsidRPr="00A25F2C" w14:paraId="6EB1F6FF" w14:textId="77777777" w:rsidTr="00335623">
        <w:trPr>
          <w:cantSplit/>
        </w:trPr>
        <w:tc>
          <w:tcPr>
            <w:tcW w:w="1370" w:type="pct"/>
          </w:tcPr>
          <w:p w14:paraId="703DFE2A" w14:textId="77777777" w:rsidR="007F4791" w:rsidRPr="00A25F2C" w:rsidRDefault="007F4791" w:rsidP="004E1FA1">
            <w:pPr>
              <w:pStyle w:val="TableBodyText"/>
            </w:pPr>
            <w:r w:rsidRPr="00A25F2C">
              <w:rPr>
                <w:b/>
              </w:rPr>
              <w:t>Total Payments to Government</w:t>
            </w:r>
          </w:p>
        </w:tc>
        <w:tc>
          <w:tcPr>
            <w:tcW w:w="502" w:type="pct"/>
          </w:tcPr>
          <w:p w14:paraId="154C749E" w14:textId="77777777" w:rsidR="007F4791" w:rsidRPr="00A25F2C" w:rsidRDefault="007F4791" w:rsidP="00EA2D5D">
            <w:pPr>
              <w:pStyle w:val="TableBodyText"/>
              <w:jc w:val="right"/>
            </w:pPr>
            <w:r w:rsidRPr="00A25F2C">
              <w:rPr>
                <w:b/>
              </w:rPr>
              <w:t>200.5</w:t>
            </w:r>
          </w:p>
        </w:tc>
        <w:tc>
          <w:tcPr>
            <w:tcW w:w="554" w:type="pct"/>
          </w:tcPr>
          <w:p w14:paraId="31227F7B" w14:textId="77777777" w:rsidR="007F4791" w:rsidRPr="00A25F2C" w:rsidRDefault="007F4791" w:rsidP="00EA2D5D">
            <w:pPr>
              <w:pStyle w:val="TableBodyText"/>
              <w:jc w:val="right"/>
            </w:pPr>
            <w:r w:rsidRPr="00A25F2C">
              <w:rPr>
                <w:b/>
              </w:rPr>
              <w:t>181.6</w:t>
            </w:r>
          </w:p>
        </w:tc>
        <w:tc>
          <w:tcPr>
            <w:tcW w:w="522" w:type="pct"/>
          </w:tcPr>
          <w:p w14:paraId="1381605D" w14:textId="77777777" w:rsidR="007F4791" w:rsidRPr="00A25F2C" w:rsidRDefault="007F4791" w:rsidP="00EA2D5D">
            <w:pPr>
              <w:pStyle w:val="TableBodyText"/>
              <w:jc w:val="right"/>
            </w:pPr>
            <w:r w:rsidRPr="00A25F2C">
              <w:rPr>
                <w:b/>
              </w:rPr>
              <w:t>208.4</w:t>
            </w:r>
          </w:p>
        </w:tc>
        <w:tc>
          <w:tcPr>
            <w:tcW w:w="521" w:type="pct"/>
          </w:tcPr>
          <w:p w14:paraId="655A789E" w14:textId="77777777" w:rsidR="007F4791" w:rsidRPr="00A25F2C" w:rsidRDefault="007F4791" w:rsidP="00EA2D5D">
            <w:pPr>
              <w:pStyle w:val="TableBodyText"/>
              <w:jc w:val="right"/>
            </w:pPr>
            <w:r w:rsidRPr="00A25F2C">
              <w:rPr>
                <w:b/>
              </w:rPr>
              <w:t>155.7</w:t>
            </w:r>
          </w:p>
        </w:tc>
        <w:tc>
          <w:tcPr>
            <w:tcW w:w="522" w:type="pct"/>
          </w:tcPr>
          <w:p w14:paraId="5AD24560" w14:textId="77777777" w:rsidR="007F4791" w:rsidRPr="00A25F2C" w:rsidRDefault="007F4791" w:rsidP="00EA2D5D">
            <w:pPr>
              <w:pStyle w:val="TableBodyText"/>
              <w:jc w:val="right"/>
            </w:pPr>
            <w:r w:rsidRPr="00A25F2C">
              <w:rPr>
                <w:b/>
              </w:rPr>
              <w:t>180.0</w:t>
            </w:r>
          </w:p>
        </w:tc>
        <w:tc>
          <w:tcPr>
            <w:tcW w:w="506" w:type="pct"/>
          </w:tcPr>
          <w:p w14:paraId="4FBC5701" w14:textId="77777777" w:rsidR="007F4791" w:rsidRPr="00A25F2C" w:rsidRDefault="007F4791" w:rsidP="00EA2D5D">
            <w:pPr>
              <w:pStyle w:val="TableBodyText"/>
              <w:jc w:val="right"/>
            </w:pPr>
            <w:r w:rsidRPr="00A25F2C">
              <w:rPr>
                <w:b/>
              </w:rPr>
              <w:t>194.2</w:t>
            </w:r>
          </w:p>
        </w:tc>
        <w:tc>
          <w:tcPr>
            <w:tcW w:w="502" w:type="pct"/>
          </w:tcPr>
          <w:p w14:paraId="0762A71F" w14:textId="77777777" w:rsidR="007F4791" w:rsidRPr="00A25F2C" w:rsidRDefault="007F4791" w:rsidP="00EA2D5D">
            <w:pPr>
              <w:pStyle w:val="TableBodyText"/>
              <w:jc w:val="right"/>
              <w:rPr>
                <w:b/>
              </w:rPr>
            </w:pPr>
            <w:r w:rsidRPr="00A25F2C">
              <w:rPr>
                <w:b/>
              </w:rPr>
              <w:t>173.7</w:t>
            </w:r>
          </w:p>
        </w:tc>
      </w:tr>
    </w:tbl>
    <w:p w14:paraId="550A1156" w14:textId="7E47E967" w:rsidR="00335623" w:rsidRDefault="00335623" w:rsidP="007F4791">
      <w:pPr>
        <w:pStyle w:val="BodyText"/>
      </w:pPr>
      <w:r w:rsidRPr="00A25F2C">
        <w:t>All tables subject to rounding</w:t>
      </w:r>
    </w:p>
    <w:p w14:paraId="7EF6BDB5" w14:textId="483FDCE5" w:rsidR="00143D6B" w:rsidRDefault="007F4791" w:rsidP="007F4791">
      <w:pPr>
        <w:pStyle w:val="BodyText"/>
      </w:pPr>
      <w:r w:rsidRPr="00A25F2C">
        <w:t>Cash to Government is sensitive to movements in direct operating and capital expenditures as well as fluctuations in water and sewerage revenue (refer to Appendices for further detail).</w:t>
      </w:r>
    </w:p>
    <w:p w14:paraId="24511805" w14:textId="77777777" w:rsidR="00143D6B" w:rsidRDefault="007F4791" w:rsidP="007F4791">
      <w:pPr>
        <w:pStyle w:val="Heading1"/>
      </w:pPr>
      <w:bookmarkStart w:id="60" w:name="_Toc147756908"/>
      <w:r w:rsidRPr="00A25F2C">
        <w:lastRenderedPageBreak/>
        <w:t>Appendices</w:t>
      </w:r>
      <w:bookmarkEnd w:id="60"/>
    </w:p>
    <w:p w14:paraId="4C352F3A" w14:textId="4BDACF57" w:rsidR="007F4791" w:rsidRPr="00A25F2C" w:rsidRDefault="007F4791" w:rsidP="007F4791">
      <w:pPr>
        <w:pStyle w:val="Heading2"/>
      </w:pPr>
      <w:bookmarkStart w:id="61" w:name="_Toc147756909"/>
      <w:r w:rsidRPr="00A25F2C">
        <w:t xml:space="preserve">Appendix A – Strategies, </w:t>
      </w:r>
      <w:proofErr w:type="gramStart"/>
      <w:r w:rsidRPr="00A25F2C">
        <w:t>Drivers</w:t>
      </w:r>
      <w:proofErr w:type="gramEnd"/>
      <w:r w:rsidRPr="00A25F2C">
        <w:t xml:space="preserve"> and Obligations</w:t>
      </w:r>
      <w:bookmarkEnd w:id="61"/>
    </w:p>
    <w:p w14:paraId="33E8B3A0" w14:textId="5F913766" w:rsidR="00143D6B" w:rsidRDefault="007F4791" w:rsidP="007F4791">
      <w:pPr>
        <w:pStyle w:val="BodyText"/>
      </w:pPr>
      <w:r w:rsidRPr="00A25F2C">
        <w:t xml:space="preserve">The key statutory obligations and other drivers (including acts, policies, licences, </w:t>
      </w:r>
      <w:proofErr w:type="gramStart"/>
      <w:r w:rsidRPr="00A25F2C">
        <w:t>agreements</w:t>
      </w:r>
      <w:proofErr w:type="gramEnd"/>
      <w:r w:rsidRPr="00A25F2C">
        <w:t xml:space="preserve"> and strategies) under which Melbourne Water operates</w:t>
      </w:r>
      <w:r w:rsidR="00321FF0">
        <w:t>.</w:t>
      </w:r>
    </w:p>
    <w:p w14:paraId="39F81CF4" w14:textId="2CC8F195" w:rsidR="007F4791" w:rsidRPr="00A25F2C" w:rsidRDefault="007F4791" w:rsidP="00335623">
      <w:pPr>
        <w:pStyle w:val="Heading3"/>
      </w:pPr>
      <w:bookmarkStart w:id="62" w:name="_Toc147756910"/>
      <w:r w:rsidRPr="00A25F2C">
        <w:t>Water Supply</w:t>
      </w:r>
      <w:bookmarkEnd w:id="62"/>
    </w:p>
    <w:p w14:paraId="7E7B9F9E" w14:textId="77777777" w:rsidR="007F4791" w:rsidRPr="00A25F2C" w:rsidRDefault="007F4791" w:rsidP="007F4791">
      <w:pPr>
        <w:pStyle w:val="ListBullet"/>
      </w:pPr>
      <w:r w:rsidRPr="00A25F2C">
        <w:t>Bulk Water Supply Agreements</w:t>
      </w:r>
    </w:p>
    <w:p w14:paraId="67A76E93" w14:textId="77777777" w:rsidR="007F4791" w:rsidRPr="00A25F2C" w:rsidRDefault="007F4791" w:rsidP="00F13D2F">
      <w:pPr>
        <w:pStyle w:val="ListBullet"/>
        <w:numPr>
          <w:ilvl w:val="0"/>
          <w:numId w:val="8"/>
        </w:numPr>
      </w:pPr>
      <w:r w:rsidRPr="00A25F2C">
        <w:t>National Parks Agreements and State Forest MOUs</w:t>
      </w:r>
    </w:p>
    <w:p w14:paraId="1D49F91D" w14:textId="77777777" w:rsidR="007F4791" w:rsidRPr="00A25F2C" w:rsidRDefault="007F4791" w:rsidP="007F4791">
      <w:pPr>
        <w:pStyle w:val="ListBullet"/>
        <w:rPr>
          <w:i/>
        </w:rPr>
      </w:pPr>
      <w:r w:rsidRPr="00A25F2C">
        <w:rPr>
          <w:i/>
        </w:rPr>
        <w:t>Water Act 1989</w:t>
      </w:r>
    </w:p>
    <w:p w14:paraId="39E67CBE" w14:textId="77777777" w:rsidR="007F4791" w:rsidRPr="00A25F2C" w:rsidRDefault="007F4791" w:rsidP="007F4791">
      <w:pPr>
        <w:pStyle w:val="ListBullet"/>
        <w:rPr>
          <w:i/>
        </w:rPr>
      </w:pPr>
      <w:r w:rsidRPr="00A25F2C">
        <w:rPr>
          <w:i/>
        </w:rPr>
        <w:t>Water Industry Act 1994</w:t>
      </w:r>
    </w:p>
    <w:p w14:paraId="5A4C4922" w14:textId="77777777" w:rsidR="007F4791" w:rsidRPr="00A25F2C" w:rsidRDefault="007F4791" w:rsidP="007F4791">
      <w:pPr>
        <w:pStyle w:val="ListBullet"/>
        <w:rPr>
          <w:i/>
        </w:rPr>
      </w:pPr>
      <w:r w:rsidRPr="00A25F2C">
        <w:rPr>
          <w:i/>
        </w:rPr>
        <w:t>Safe Drinking Water Act 2003 and Regulations 2015</w:t>
      </w:r>
    </w:p>
    <w:p w14:paraId="3B9E7B76" w14:textId="77777777" w:rsidR="007F4791" w:rsidRPr="00A25F2C" w:rsidRDefault="007F4791" w:rsidP="007F4791">
      <w:pPr>
        <w:pStyle w:val="ListBullet"/>
        <w:rPr>
          <w:i/>
        </w:rPr>
      </w:pPr>
      <w:r w:rsidRPr="00A25F2C">
        <w:rPr>
          <w:i/>
        </w:rPr>
        <w:t>Health (Fluoridation) Act 1973</w:t>
      </w:r>
    </w:p>
    <w:p w14:paraId="49F33D1A" w14:textId="77777777" w:rsidR="007F4791" w:rsidRPr="00A25F2C" w:rsidRDefault="007F4791" w:rsidP="007F4791">
      <w:pPr>
        <w:pStyle w:val="ListBullet"/>
        <w:rPr>
          <w:i/>
        </w:rPr>
      </w:pPr>
      <w:r w:rsidRPr="00A25F2C">
        <w:rPr>
          <w:i/>
        </w:rPr>
        <w:t>Catchment and Land Protection Act 1994</w:t>
      </w:r>
    </w:p>
    <w:p w14:paraId="137BE31E" w14:textId="77777777" w:rsidR="007F4791" w:rsidRPr="00A25F2C" w:rsidRDefault="007F4791" w:rsidP="007F4791">
      <w:pPr>
        <w:pStyle w:val="ListBullet"/>
      </w:pPr>
      <w:r w:rsidRPr="00A25F2C">
        <w:t>Statement of Obligations</w:t>
      </w:r>
    </w:p>
    <w:p w14:paraId="12C4B31E" w14:textId="77777777" w:rsidR="007F4791" w:rsidRPr="00A25F2C" w:rsidRDefault="007F4791" w:rsidP="007F4791">
      <w:pPr>
        <w:pStyle w:val="ListBullet"/>
      </w:pPr>
      <w:r w:rsidRPr="00A25F2C">
        <w:t>Australian Drinking Water Guidelines</w:t>
      </w:r>
    </w:p>
    <w:p w14:paraId="1F1848BD" w14:textId="77777777" w:rsidR="007F4791" w:rsidRPr="00A25F2C" w:rsidRDefault="007F4791" w:rsidP="007F4791">
      <w:pPr>
        <w:pStyle w:val="ListBullet"/>
      </w:pPr>
      <w:r w:rsidRPr="00A25F2C">
        <w:t>Central and Gippsland Region Sustainable Water Strategy</w:t>
      </w:r>
    </w:p>
    <w:p w14:paraId="01AB2F0A" w14:textId="77777777" w:rsidR="007F4791" w:rsidRPr="00A25F2C" w:rsidRDefault="007F4791" w:rsidP="007F4791">
      <w:pPr>
        <w:pStyle w:val="ListBullet"/>
        <w:rPr>
          <w:i/>
        </w:rPr>
      </w:pPr>
      <w:r w:rsidRPr="00A25F2C">
        <w:t xml:space="preserve">Greater Melbourne Urban Water and System Strategy </w:t>
      </w:r>
      <w:r w:rsidRPr="00A25F2C">
        <w:rPr>
          <w:i/>
        </w:rPr>
        <w:t>(Water for Life)</w:t>
      </w:r>
    </w:p>
    <w:p w14:paraId="1F3844D6" w14:textId="77777777" w:rsidR="007F4791" w:rsidRPr="00A25F2C" w:rsidRDefault="007F4791" w:rsidP="007F4791">
      <w:pPr>
        <w:pStyle w:val="ListBullet"/>
      </w:pPr>
      <w:r w:rsidRPr="00A25F2C">
        <w:t>Melbourne Water Drinking Water Quality Strategy</w:t>
      </w:r>
    </w:p>
    <w:p w14:paraId="4CB5940B" w14:textId="77777777" w:rsidR="007F4791" w:rsidRPr="00A25F2C" w:rsidRDefault="007F4791" w:rsidP="007F4791">
      <w:pPr>
        <w:pStyle w:val="ListBullet"/>
      </w:pPr>
      <w:r w:rsidRPr="00A25F2C">
        <w:t>ANCOLD (Dam Safety)</w:t>
      </w:r>
    </w:p>
    <w:p w14:paraId="6CFD53B8" w14:textId="77777777" w:rsidR="007F4791" w:rsidRPr="00A25F2C" w:rsidRDefault="007F4791" w:rsidP="007F4791">
      <w:pPr>
        <w:pStyle w:val="ListBullet"/>
      </w:pPr>
      <w:r w:rsidRPr="00A25F2C">
        <w:t>Hazard Facility licences</w:t>
      </w:r>
    </w:p>
    <w:p w14:paraId="4D819EFF" w14:textId="77777777" w:rsidR="007F4791" w:rsidRPr="00A25F2C" w:rsidRDefault="007F4791" w:rsidP="00335623">
      <w:pPr>
        <w:pStyle w:val="Heading3"/>
      </w:pPr>
      <w:bookmarkStart w:id="63" w:name="_Toc147756911"/>
      <w:r w:rsidRPr="00A25F2C">
        <w:t>Sewerage Services</w:t>
      </w:r>
      <w:bookmarkEnd w:id="63"/>
    </w:p>
    <w:p w14:paraId="00BD7EDF" w14:textId="77777777" w:rsidR="007F4791" w:rsidRPr="00A25F2C" w:rsidRDefault="007F4791" w:rsidP="007F4791">
      <w:pPr>
        <w:pStyle w:val="ListBullet"/>
      </w:pPr>
      <w:r w:rsidRPr="00A25F2C">
        <w:t>Bulk Sewage Transfer, Treatment and Disposal Agreements</w:t>
      </w:r>
    </w:p>
    <w:p w14:paraId="00B8E983" w14:textId="21D8B3D7" w:rsidR="007F4791" w:rsidRPr="00A25F2C" w:rsidRDefault="009448C3" w:rsidP="007F4791">
      <w:pPr>
        <w:pStyle w:val="ListBullet"/>
      </w:pPr>
      <w:r w:rsidRPr="00A25F2C">
        <w:t xml:space="preserve">Environment Protection Authority </w:t>
      </w:r>
      <w:r>
        <w:t>(</w:t>
      </w:r>
      <w:r w:rsidR="007F4791" w:rsidRPr="00A25F2C">
        <w:t>EPA</w:t>
      </w:r>
      <w:r>
        <w:t>)</w:t>
      </w:r>
      <w:r w:rsidR="007F4791" w:rsidRPr="00A25F2C">
        <w:t xml:space="preserve"> Victoria Licences</w:t>
      </w:r>
    </w:p>
    <w:p w14:paraId="50E2F86B" w14:textId="77777777" w:rsidR="007F4791" w:rsidRPr="00A25F2C" w:rsidRDefault="007F4791" w:rsidP="007F4791">
      <w:pPr>
        <w:pStyle w:val="ListBullet"/>
      </w:pPr>
      <w:r w:rsidRPr="00A25F2C">
        <w:t>State Environment Protection Policy (Waters of Victoria)</w:t>
      </w:r>
    </w:p>
    <w:p w14:paraId="2E60FE31" w14:textId="77777777" w:rsidR="007F4791" w:rsidRPr="00A25F2C" w:rsidRDefault="007F4791" w:rsidP="007F4791">
      <w:pPr>
        <w:pStyle w:val="ListBullet"/>
      </w:pPr>
      <w:r w:rsidRPr="00A25F2C">
        <w:t>State Environment Protection Policy (Air Quality</w:t>
      </w:r>
    </w:p>
    <w:p w14:paraId="5A047CCF" w14:textId="77777777" w:rsidR="007F4791" w:rsidRPr="00A25F2C" w:rsidRDefault="007F4791" w:rsidP="007F4791">
      <w:pPr>
        <w:pStyle w:val="ListBullet"/>
      </w:pPr>
      <w:r w:rsidRPr="00A25F2C">
        <w:t>Management)</w:t>
      </w:r>
    </w:p>
    <w:p w14:paraId="7934F753" w14:textId="77777777" w:rsidR="007F4791" w:rsidRPr="00A25F2C" w:rsidRDefault="007F4791" w:rsidP="007F4791">
      <w:pPr>
        <w:pStyle w:val="ListBullet"/>
      </w:pPr>
      <w:r w:rsidRPr="00A25F2C">
        <w:t>State Environment Protection Policy (Waters of Victoria and</w:t>
      </w:r>
    </w:p>
    <w:p w14:paraId="00011B19" w14:textId="77777777" w:rsidR="007F4791" w:rsidRPr="00A25F2C" w:rsidRDefault="007F4791" w:rsidP="007F4791">
      <w:pPr>
        <w:pStyle w:val="ListBullet"/>
      </w:pPr>
      <w:r w:rsidRPr="00A25F2C">
        <w:t>Groundwaters)</w:t>
      </w:r>
    </w:p>
    <w:p w14:paraId="45794FF2" w14:textId="77777777" w:rsidR="007F4791" w:rsidRPr="00A25F2C" w:rsidRDefault="007F4791" w:rsidP="007F4791">
      <w:pPr>
        <w:pStyle w:val="ListBullet"/>
        <w:rPr>
          <w:i/>
        </w:rPr>
      </w:pPr>
      <w:r w:rsidRPr="00A25F2C">
        <w:rPr>
          <w:i/>
        </w:rPr>
        <w:t>Water Act 1989</w:t>
      </w:r>
    </w:p>
    <w:p w14:paraId="59FCC3CA" w14:textId="77777777" w:rsidR="007F4791" w:rsidRPr="00A25F2C" w:rsidRDefault="007F4791" w:rsidP="007F4791">
      <w:pPr>
        <w:pStyle w:val="ListBullet"/>
        <w:rPr>
          <w:i/>
        </w:rPr>
      </w:pPr>
      <w:r w:rsidRPr="00A25F2C">
        <w:rPr>
          <w:i/>
        </w:rPr>
        <w:t>Water Industry Act 1994</w:t>
      </w:r>
    </w:p>
    <w:p w14:paraId="50F01205" w14:textId="77777777" w:rsidR="007F4791" w:rsidRPr="00A25F2C" w:rsidRDefault="007F4791" w:rsidP="007F4791">
      <w:pPr>
        <w:pStyle w:val="ListBullet"/>
        <w:rPr>
          <w:i/>
        </w:rPr>
      </w:pPr>
      <w:r w:rsidRPr="00A25F2C">
        <w:rPr>
          <w:i/>
        </w:rPr>
        <w:t>Statement of Obligations</w:t>
      </w:r>
    </w:p>
    <w:p w14:paraId="24F02A67" w14:textId="77777777" w:rsidR="007F4791" w:rsidRPr="00A25F2C" w:rsidRDefault="007F4791" w:rsidP="007F4791">
      <w:pPr>
        <w:pStyle w:val="ListBullet"/>
        <w:rPr>
          <w:i/>
        </w:rPr>
      </w:pPr>
      <w:r w:rsidRPr="00A25F2C">
        <w:rPr>
          <w:i/>
        </w:rPr>
        <w:t>Environment Protection Act 2017</w:t>
      </w:r>
    </w:p>
    <w:p w14:paraId="2C976A11" w14:textId="77777777" w:rsidR="007F4791" w:rsidRPr="00A25F2C" w:rsidRDefault="007F4791" w:rsidP="007F4791">
      <w:pPr>
        <w:pStyle w:val="ListBullet"/>
        <w:rPr>
          <w:i/>
        </w:rPr>
      </w:pPr>
      <w:r w:rsidRPr="00A25F2C">
        <w:rPr>
          <w:i/>
        </w:rPr>
        <w:t>Climate Change Act 2017</w:t>
      </w:r>
    </w:p>
    <w:p w14:paraId="17056022" w14:textId="0F01F3CA" w:rsidR="007F4791" w:rsidRPr="00A25F2C" w:rsidRDefault="007F4791" w:rsidP="0036237C">
      <w:pPr>
        <w:pStyle w:val="ListBullet"/>
      </w:pPr>
      <w:r w:rsidRPr="00335623">
        <w:rPr>
          <w:i/>
        </w:rPr>
        <w:t>National Greenhouse and Energy Reporting Act 2007</w:t>
      </w:r>
      <w:r w:rsidR="00335623" w:rsidRPr="00335623">
        <w:rPr>
          <w:i/>
        </w:rPr>
        <w:t xml:space="preserve"> </w:t>
      </w:r>
      <w:r w:rsidRPr="00A25F2C">
        <w:t>(Commonwealth)</w:t>
      </w:r>
    </w:p>
    <w:p w14:paraId="4445BA10" w14:textId="77777777" w:rsidR="007F4791" w:rsidRPr="00A25F2C" w:rsidRDefault="007F4791" w:rsidP="007F4791">
      <w:pPr>
        <w:pStyle w:val="ListBullet"/>
      </w:pPr>
      <w:r w:rsidRPr="00A25F2C">
        <w:t>Water for Victoria</w:t>
      </w:r>
    </w:p>
    <w:p w14:paraId="41FFDD1E" w14:textId="77777777" w:rsidR="007F4791" w:rsidRPr="00A25F2C" w:rsidRDefault="007F4791" w:rsidP="007F4791">
      <w:pPr>
        <w:pStyle w:val="ListBullet"/>
      </w:pPr>
      <w:r w:rsidRPr="00A25F2C">
        <w:t>Melbourne Sewerage Strategy</w:t>
      </w:r>
    </w:p>
    <w:p w14:paraId="0FD2918E" w14:textId="77777777" w:rsidR="007F4791" w:rsidRPr="00A25F2C" w:rsidRDefault="007F4791" w:rsidP="007F4791">
      <w:pPr>
        <w:pStyle w:val="ListBullet"/>
      </w:pPr>
      <w:r w:rsidRPr="00A25F2C">
        <w:t>Recycling Victoria: A New Economy</w:t>
      </w:r>
    </w:p>
    <w:p w14:paraId="1C26BD45" w14:textId="77777777" w:rsidR="007F4791" w:rsidRPr="00A25F2C" w:rsidRDefault="007F4791" w:rsidP="007F4791">
      <w:pPr>
        <w:pStyle w:val="ListBullet"/>
        <w:rPr>
          <w:i/>
        </w:rPr>
      </w:pPr>
      <w:r w:rsidRPr="00A25F2C">
        <w:rPr>
          <w:i/>
        </w:rPr>
        <w:t>Environment Protection and Biodiversity Conservation Act (1999)</w:t>
      </w:r>
    </w:p>
    <w:p w14:paraId="1537BAE3" w14:textId="77777777" w:rsidR="007F4791" w:rsidRPr="00A25F2C" w:rsidRDefault="007F4791" w:rsidP="007F4791">
      <w:pPr>
        <w:pStyle w:val="ListBullet"/>
      </w:pPr>
      <w:r w:rsidRPr="00A25F2C">
        <w:t>The Convention on Wetlands of International Importance (Ramsar)</w:t>
      </w:r>
    </w:p>
    <w:p w14:paraId="1609607F" w14:textId="1A3C0430" w:rsidR="007F4791" w:rsidRPr="00A25F2C" w:rsidRDefault="007F4791" w:rsidP="00335623">
      <w:pPr>
        <w:pStyle w:val="Heading3"/>
      </w:pPr>
      <w:bookmarkStart w:id="64" w:name="_Toc147756912"/>
      <w:r w:rsidRPr="00A25F2C">
        <w:lastRenderedPageBreak/>
        <w:t>Waterways, Drainage and Catchment Management</w:t>
      </w:r>
      <w:bookmarkEnd w:id="64"/>
    </w:p>
    <w:p w14:paraId="00C7AD4D" w14:textId="77777777" w:rsidR="007F4791" w:rsidRPr="00A25F2C" w:rsidRDefault="007F4791" w:rsidP="007F4791">
      <w:pPr>
        <w:pStyle w:val="ListBullet"/>
        <w:rPr>
          <w:i/>
        </w:rPr>
      </w:pPr>
      <w:r w:rsidRPr="00A25F2C">
        <w:rPr>
          <w:i/>
        </w:rPr>
        <w:t>Water Act 1989</w:t>
      </w:r>
    </w:p>
    <w:p w14:paraId="07500931" w14:textId="77777777" w:rsidR="007F4791" w:rsidRPr="00A25F2C" w:rsidRDefault="007F4791" w:rsidP="007F4791">
      <w:pPr>
        <w:pStyle w:val="ListBullet"/>
        <w:rPr>
          <w:i/>
        </w:rPr>
      </w:pPr>
      <w:r w:rsidRPr="00A25F2C">
        <w:rPr>
          <w:i/>
        </w:rPr>
        <w:t>Water Industry Act 1994</w:t>
      </w:r>
    </w:p>
    <w:p w14:paraId="247D4258" w14:textId="77777777" w:rsidR="007F4791" w:rsidRPr="00A25F2C" w:rsidRDefault="007F4791" w:rsidP="007F4791">
      <w:pPr>
        <w:pStyle w:val="ListBullet"/>
        <w:rPr>
          <w:i/>
        </w:rPr>
      </w:pPr>
      <w:r w:rsidRPr="00A25F2C">
        <w:rPr>
          <w:i/>
        </w:rPr>
        <w:t>Environment Protection Act 2017</w:t>
      </w:r>
    </w:p>
    <w:p w14:paraId="7466E905" w14:textId="77777777" w:rsidR="007F4791" w:rsidRPr="00A25F2C" w:rsidRDefault="007F4791" w:rsidP="007F4791">
      <w:pPr>
        <w:pStyle w:val="ListBullet"/>
        <w:rPr>
          <w:i/>
        </w:rPr>
      </w:pPr>
      <w:r w:rsidRPr="00A25F2C">
        <w:rPr>
          <w:i/>
        </w:rPr>
        <w:t>Emergency Management Act 2013</w:t>
      </w:r>
    </w:p>
    <w:p w14:paraId="2B064C1B" w14:textId="77777777" w:rsidR="007F4791" w:rsidRPr="00A25F2C" w:rsidRDefault="007F4791" w:rsidP="007F4791">
      <w:pPr>
        <w:pStyle w:val="ListBullet"/>
      </w:pPr>
      <w:r w:rsidRPr="00A25F2C">
        <w:t>Principles for Provision of Waterway and Drainage Services for Urban Growth</w:t>
      </w:r>
    </w:p>
    <w:p w14:paraId="2BA27D9A" w14:textId="77777777" w:rsidR="007F4791" w:rsidRPr="00A25F2C" w:rsidRDefault="007F4791" w:rsidP="007F4791">
      <w:pPr>
        <w:pStyle w:val="ListBullet"/>
        <w:rPr>
          <w:i/>
        </w:rPr>
      </w:pPr>
      <w:r w:rsidRPr="00A25F2C">
        <w:rPr>
          <w:i/>
        </w:rPr>
        <w:t>Planning and Environment Act 1987</w:t>
      </w:r>
    </w:p>
    <w:p w14:paraId="13B955F7" w14:textId="77777777" w:rsidR="007F4791" w:rsidRPr="00A25F2C" w:rsidRDefault="007F4791" w:rsidP="007F4791">
      <w:pPr>
        <w:pStyle w:val="ListBullet"/>
      </w:pPr>
      <w:r w:rsidRPr="00A25F2C">
        <w:rPr>
          <w:i/>
        </w:rPr>
        <w:t xml:space="preserve">Road Management Act 2004 </w:t>
      </w:r>
      <w:r w:rsidRPr="00A25F2C">
        <w:t>and Regulations (2015)</w:t>
      </w:r>
    </w:p>
    <w:p w14:paraId="4823901D" w14:textId="77777777" w:rsidR="007F4791" w:rsidRPr="00A25F2C" w:rsidRDefault="007F4791" w:rsidP="007F4791">
      <w:pPr>
        <w:pStyle w:val="ListBullet"/>
        <w:rPr>
          <w:i/>
        </w:rPr>
      </w:pPr>
      <w:r w:rsidRPr="00A25F2C">
        <w:rPr>
          <w:i/>
        </w:rPr>
        <w:t>Subdivision Act 1988</w:t>
      </w:r>
    </w:p>
    <w:p w14:paraId="175C88E5" w14:textId="77777777" w:rsidR="007F4791" w:rsidRPr="00A25F2C" w:rsidRDefault="007F4791" w:rsidP="007F4791">
      <w:pPr>
        <w:pStyle w:val="ListBullet"/>
      </w:pPr>
      <w:r w:rsidRPr="00A25F2C">
        <w:t>Victorian Waterway Management Strategy</w:t>
      </w:r>
    </w:p>
    <w:p w14:paraId="53FC834B" w14:textId="77777777" w:rsidR="007F4791" w:rsidRPr="00A25F2C" w:rsidRDefault="007F4791" w:rsidP="007F4791">
      <w:pPr>
        <w:pStyle w:val="ListBullet"/>
      </w:pPr>
      <w:r w:rsidRPr="00A25F2C">
        <w:t>Port Phillip and Westernport Regional Catchment Strategy</w:t>
      </w:r>
    </w:p>
    <w:p w14:paraId="1945C6BD" w14:textId="77777777" w:rsidR="007F4791" w:rsidRPr="00A25F2C" w:rsidRDefault="007F4791" w:rsidP="007F4791">
      <w:pPr>
        <w:pStyle w:val="ListBullet"/>
      </w:pPr>
      <w:r w:rsidRPr="00A25F2C">
        <w:t>Healthy Waterways Strategy 2018</w:t>
      </w:r>
    </w:p>
    <w:p w14:paraId="24E6091E" w14:textId="77777777" w:rsidR="007F4791" w:rsidRPr="00A25F2C" w:rsidRDefault="007F4791" w:rsidP="007F4791">
      <w:pPr>
        <w:pStyle w:val="ListBullet"/>
      </w:pPr>
      <w:r w:rsidRPr="00A25F2C">
        <w:t>Victorian Floodplain Management Strategy</w:t>
      </w:r>
    </w:p>
    <w:p w14:paraId="27F8902D" w14:textId="77777777" w:rsidR="007F4791" w:rsidRPr="00A25F2C" w:rsidRDefault="007F4791" w:rsidP="007F4791">
      <w:pPr>
        <w:pStyle w:val="ListBullet"/>
      </w:pPr>
      <w:r w:rsidRPr="00A25F2C">
        <w:t>Flood Management Strategy for Port Phillip and Westernport</w:t>
      </w:r>
    </w:p>
    <w:p w14:paraId="05BFE4BE" w14:textId="77777777" w:rsidR="007F4791" w:rsidRPr="00A25F2C" w:rsidRDefault="007F4791" w:rsidP="007F4791">
      <w:pPr>
        <w:pStyle w:val="ListBullet"/>
        <w:rPr>
          <w:i/>
        </w:rPr>
      </w:pPr>
      <w:r w:rsidRPr="00A25F2C">
        <w:rPr>
          <w:i/>
        </w:rPr>
        <w:t>Catchment and Land Protection Act 1994</w:t>
      </w:r>
    </w:p>
    <w:p w14:paraId="2DB7110F" w14:textId="77777777" w:rsidR="007F4791" w:rsidRPr="00A25F2C" w:rsidRDefault="007F4791" w:rsidP="007F4791">
      <w:pPr>
        <w:pStyle w:val="ListBullet"/>
      </w:pPr>
      <w:r w:rsidRPr="00A25F2C">
        <w:t>The Convention on Wetlands of International Importance (Ramsar)</w:t>
      </w:r>
    </w:p>
    <w:p w14:paraId="63164397" w14:textId="77777777" w:rsidR="007F4791" w:rsidRPr="00A25F2C" w:rsidRDefault="007F4791" w:rsidP="00335623">
      <w:pPr>
        <w:pStyle w:val="Heading3"/>
      </w:pPr>
      <w:bookmarkStart w:id="65" w:name="_Toc147756913"/>
      <w:r w:rsidRPr="00A25F2C">
        <w:t>Alternative Water Supply</w:t>
      </w:r>
      <w:bookmarkEnd w:id="65"/>
    </w:p>
    <w:p w14:paraId="682BDB35" w14:textId="77777777" w:rsidR="007F4791" w:rsidRPr="00A25F2C" w:rsidRDefault="007F4791" w:rsidP="007F4791">
      <w:pPr>
        <w:pStyle w:val="ListBullet"/>
      </w:pPr>
      <w:r w:rsidRPr="00A25F2C">
        <w:t>Bulk Recycled Water Supply Agreements</w:t>
      </w:r>
    </w:p>
    <w:p w14:paraId="75857AE9" w14:textId="77777777" w:rsidR="007F4791" w:rsidRPr="00A25F2C" w:rsidRDefault="007F4791" w:rsidP="007F4791">
      <w:pPr>
        <w:pStyle w:val="ListBullet"/>
      </w:pPr>
      <w:r w:rsidRPr="00A25F2C">
        <w:t>Statement of Obligations</w:t>
      </w:r>
    </w:p>
    <w:p w14:paraId="1CC923C0" w14:textId="5793BE9A" w:rsidR="007F4791" w:rsidRPr="00A25F2C" w:rsidRDefault="009448C3" w:rsidP="007F4791">
      <w:pPr>
        <w:pStyle w:val="ListBullet"/>
      </w:pPr>
      <w:r>
        <w:t>Environment Protection Authority</w:t>
      </w:r>
      <w:r w:rsidR="007F4791" w:rsidRPr="00A25F2C">
        <w:t xml:space="preserve"> Victoria Guidelines</w:t>
      </w:r>
    </w:p>
    <w:p w14:paraId="6B6D2DD3" w14:textId="6887799B" w:rsidR="007F4791" w:rsidRPr="00A25F2C" w:rsidRDefault="009448C3" w:rsidP="007F4791">
      <w:pPr>
        <w:pStyle w:val="ListBullet"/>
      </w:pPr>
      <w:r>
        <w:t>Environment Protection Authority</w:t>
      </w:r>
      <w:r w:rsidR="007F4791" w:rsidRPr="00A25F2C">
        <w:t xml:space="preserve"> Victoria Licences</w:t>
      </w:r>
    </w:p>
    <w:p w14:paraId="5683F6E1" w14:textId="77777777" w:rsidR="007F4791" w:rsidRPr="00A25F2C" w:rsidRDefault="007F4791" w:rsidP="00335623">
      <w:pPr>
        <w:pStyle w:val="Heading3"/>
      </w:pPr>
      <w:bookmarkStart w:id="66" w:name="_Toc147756914"/>
      <w:r w:rsidRPr="00A25F2C">
        <w:t>Other/All Services</w:t>
      </w:r>
      <w:bookmarkEnd w:id="66"/>
    </w:p>
    <w:p w14:paraId="1FA30010" w14:textId="77777777" w:rsidR="007F4791" w:rsidRPr="00A25F2C" w:rsidRDefault="007F4791" w:rsidP="007F4791">
      <w:pPr>
        <w:pStyle w:val="ListBullet"/>
        <w:rPr>
          <w:i/>
        </w:rPr>
      </w:pPr>
      <w:r w:rsidRPr="00A25F2C">
        <w:rPr>
          <w:i/>
        </w:rPr>
        <w:t>Marine and Coastal Act 2018</w:t>
      </w:r>
    </w:p>
    <w:p w14:paraId="4B4635FC" w14:textId="77777777" w:rsidR="007F4791" w:rsidRPr="00A25F2C" w:rsidRDefault="007F4791" w:rsidP="007F4791">
      <w:pPr>
        <w:pStyle w:val="ListBullet"/>
      </w:pPr>
      <w:r w:rsidRPr="00A25F2C">
        <w:t>Plan Melbourne</w:t>
      </w:r>
    </w:p>
    <w:p w14:paraId="1995B982" w14:textId="77777777" w:rsidR="00143D6B" w:rsidRDefault="007F4791" w:rsidP="007F4791">
      <w:pPr>
        <w:pStyle w:val="ListBullet"/>
        <w:rPr>
          <w:i/>
        </w:rPr>
      </w:pPr>
      <w:r w:rsidRPr="00A25F2C">
        <w:rPr>
          <w:i/>
        </w:rPr>
        <w:t>Environment Protection Act 2017</w:t>
      </w:r>
    </w:p>
    <w:p w14:paraId="6B1ECEB7" w14:textId="374C1FE3" w:rsidR="00143D6B" w:rsidRDefault="007F4791" w:rsidP="005C41F0">
      <w:pPr>
        <w:pStyle w:val="Heading2"/>
        <w:pageBreakBefore/>
      </w:pPr>
      <w:bookmarkStart w:id="67" w:name="_Toc147756915"/>
      <w:r w:rsidRPr="00A25F2C">
        <w:lastRenderedPageBreak/>
        <w:t>Appendix B – Key Performance Indicators and Targets</w:t>
      </w:r>
      <w:bookmarkEnd w:id="67"/>
    </w:p>
    <w:p w14:paraId="5320AF8D" w14:textId="61B3E813" w:rsidR="007F4791" w:rsidRDefault="00E97A23" w:rsidP="00335623">
      <w:pPr>
        <w:pStyle w:val="Caption"/>
      </w:pPr>
      <w:r w:rsidRPr="00E97A23">
        <w:t>Table B1 – KPIs and performance Targets</w:t>
      </w:r>
    </w:p>
    <w:tbl>
      <w:tblPr>
        <w:tblStyle w:val="TableProfessional"/>
        <w:tblW w:w="5000" w:type="pct"/>
        <w:tblLayout w:type="fixed"/>
        <w:tblLook w:val="0620" w:firstRow="1" w:lastRow="0" w:firstColumn="0" w:lastColumn="0" w:noHBand="1" w:noVBand="1"/>
      </w:tblPr>
      <w:tblGrid>
        <w:gridCol w:w="771"/>
        <w:gridCol w:w="1632"/>
        <w:gridCol w:w="2986"/>
        <w:gridCol w:w="855"/>
        <w:gridCol w:w="857"/>
        <w:gridCol w:w="849"/>
        <w:gridCol w:w="853"/>
        <w:gridCol w:w="828"/>
      </w:tblGrid>
      <w:tr w:rsidR="00777322" w:rsidRPr="00A25F2C" w14:paraId="37D961D9" w14:textId="77777777" w:rsidTr="00777322">
        <w:trPr>
          <w:cnfStyle w:val="100000000000" w:firstRow="1" w:lastRow="0" w:firstColumn="0" w:lastColumn="0" w:oddVBand="0" w:evenVBand="0" w:oddHBand="0" w:evenHBand="0" w:firstRowFirstColumn="0" w:firstRowLastColumn="0" w:lastRowFirstColumn="0" w:lastRowLastColumn="0"/>
          <w:cantSplit/>
        </w:trPr>
        <w:tc>
          <w:tcPr>
            <w:tcW w:w="400" w:type="pct"/>
          </w:tcPr>
          <w:p w14:paraId="27FB85AC" w14:textId="77777777" w:rsidR="007F4791" w:rsidRPr="00A25F2C" w:rsidRDefault="007F4791" w:rsidP="004E1FA1">
            <w:pPr>
              <w:pStyle w:val="TableBodyText"/>
            </w:pPr>
            <w:r w:rsidRPr="00A25F2C">
              <w:t>KPI</w:t>
            </w:r>
          </w:p>
        </w:tc>
        <w:tc>
          <w:tcPr>
            <w:tcW w:w="847" w:type="pct"/>
          </w:tcPr>
          <w:p w14:paraId="7743DBF7" w14:textId="77777777" w:rsidR="007F4791" w:rsidRPr="00A25F2C" w:rsidRDefault="007F4791" w:rsidP="004E1FA1">
            <w:pPr>
              <w:pStyle w:val="TableBodyText"/>
            </w:pPr>
            <w:r w:rsidRPr="00A25F2C">
              <w:t>KPI Metric</w:t>
            </w:r>
          </w:p>
        </w:tc>
        <w:tc>
          <w:tcPr>
            <w:tcW w:w="1550" w:type="pct"/>
          </w:tcPr>
          <w:p w14:paraId="015A93B0" w14:textId="77777777" w:rsidR="007F4791" w:rsidRPr="00A25F2C" w:rsidRDefault="007F4791" w:rsidP="004E1FA1">
            <w:pPr>
              <w:pStyle w:val="TableBodyText"/>
            </w:pPr>
            <w:r w:rsidRPr="00A25F2C">
              <w:t>Measure</w:t>
            </w:r>
          </w:p>
        </w:tc>
        <w:tc>
          <w:tcPr>
            <w:tcW w:w="444" w:type="pct"/>
          </w:tcPr>
          <w:p w14:paraId="0AE06B48" w14:textId="77777777" w:rsidR="007F4791" w:rsidRPr="00A25F2C" w:rsidRDefault="007F4791" w:rsidP="00E97A23">
            <w:pPr>
              <w:pStyle w:val="TableBodyText"/>
              <w:jc w:val="right"/>
            </w:pPr>
            <w:r w:rsidRPr="00A25F2C">
              <w:t>2023-24</w:t>
            </w:r>
          </w:p>
        </w:tc>
        <w:tc>
          <w:tcPr>
            <w:tcW w:w="445" w:type="pct"/>
          </w:tcPr>
          <w:p w14:paraId="5E80604E" w14:textId="77777777" w:rsidR="007F4791" w:rsidRPr="00A25F2C" w:rsidRDefault="007F4791" w:rsidP="00E97A23">
            <w:pPr>
              <w:pStyle w:val="TableBodyText"/>
              <w:jc w:val="right"/>
            </w:pPr>
            <w:r w:rsidRPr="00A25F2C">
              <w:t>2024-25</w:t>
            </w:r>
          </w:p>
        </w:tc>
        <w:tc>
          <w:tcPr>
            <w:tcW w:w="441" w:type="pct"/>
          </w:tcPr>
          <w:p w14:paraId="7DFB69AF" w14:textId="77777777" w:rsidR="007F4791" w:rsidRPr="00A25F2C" w:rsidRDefault="007F4791" w:rsidP="00E97A23">
            <w:pPr>
              <w:pStyle w:val="TableBodyText"/>
              <w:jc w:val="right"/>
            </w:pPr>
            <w:r w:rsidRPr="00A25F2C">
              <w:t>2025-26</w:t>
            </w:r>
          </w:p>
        </w:tc>
        <w:tc>
          <w:tcPr>
            <w:tcW w:w="443" w:type="pct"/>
          </w:tcPr>
          <w:p w14:paraId="311262E6" w14:textId="77777777" w:rsidR="007F4791" w:rsidRPr="00A25F2C" w:rsidRDefault="007F4791" w:rsidP="00E97A23">
            <w:pPr>
              <w:pStyle w:val="TableBodyText"/>
              <w:jc w:val="right"/>
            </w:pPr>
            <w:r w:rsidRPr="00A25F2C">
              <w:t>2026-27</w:t>
            </w:r>
          </w:p>
        </w:tc>
        <w:tc>
          <w:tcPr>
            <w:tcW w:w="431" w:type="pct"/>
          </w:tcPr>
          <w:p w14:paraId="2968E301" w14:textId="77777777" w:rsidR="007F4791" w:rsidRPr="00A25F2C" w:rsidRDefault="007F4791" w:rsidP="00E97A23">
            <w:pPr>
              <w:pStyle w:val="TableBodyText"/>
              <w:jc w:val="right"/>
            </w:pPr>
            <w:r w:rsidRPr="00A25F2C">
              <w:t>2027-28</w:t>
            </w:r>
          </w:p>
        </w:tc>
      </w:tr>
      <w:tr w:rsidR="00777322" w:rsidRPr="00A25F2C" w14:paraId="7649B1F6" w14:textId="77777777" w:rsidTr="00777322">
        <w:trPr>
          <w:cantSplit/>
        </w:trPr>
        <w:tc>
          <w:tcPr>
            <w:tcW w:w="400" w:type="pct"/>
          </w:tcPr>
          <w:p w14:paraId="6BFCA5DC" w14:textId="77777777" w:rsidR="007F4791" w:rsidRPr="00A25F2C" w:rsidRDefault="007F4791" w:rsidP="004E1FA1">
            <w:pPr>
              <w:pStyle w:val="TableBodyText"/>
            </w:pPr>
            <w:r w:rsidRPr="00A25F2C">
              <w:t>WQ1</w:t>
            </w:r>
          </w:p>
        </w:tc>
        <w:tc>
          <w:tcPr>
            <w:tcW w:w="847" w:type="pct"/>
          </w:tcPr>
          <w:p w14:paraId="3744C810" w14:textId="77777777" w:rsidR="007F4791" w:rsidRPr="00A25F2C" w:rsidRDefault="007F4791" w:rsidP="004E1FA1">
            <w:pPr>
              <w:pStyle w:val="TableBodyText"/>
            </w:pPr>
            <w:r w:rsidRPr="00A25F2C">
              <w:t>Water Quality</w:t>
            </w:r>
          </w:p>
        </w:tc>
        <w:tc>
          <w:tcPr>
            <w:tcW w:w="1550" w:type="pct"/>
          </w:tcPr>
          <w:p w14:paraId="64BBE3AE" w14:textId="77777777" w:rsidR="007F4791" w:rsidRPr="00A25F2C" w:rsidRDefault="007F4791" w:rsidP="004E1FA1">
            <w:pPr>
              <w:pStyle w:val="TableBodyText"/>
            </w:pPr>
            <w:r w:rsidRPr="00A25F2C">
              <w:t>Compliance with Bulk Water Supply Agreement: Microbiological Standards – E. coli</w:t>
            </w:r>
          </w:p>
        </w:tc>
        <w:tc>
          <w:tcPr>
            <w:tcW w:w="444" w:type="pct"/>
          </w:tcPr>
          <w:p w14:paraId="6B68CDCA" w14:textId="77777777" w:rsidR="007F4791" w:rsidRPr="00A25F2C" w:rsidRDefault="007F4791" w:rsidP="00E97A23">
            <w:pPr>
              <w:pStyle w:val="TableBodyText"/>
              <w:jc w:val="right"/>
            </w:pPr>
            <w:r w:rsidRPr="00A25F2C">
              <w:t>100%</w:t>
            </w:r>
          </w:p>
        </w:tc>
        <w:tc>
          <w:tcPr>
            <w:tcW w:w="445" w:type="pct"/>
          </w:tcPr>
          <w:p w14:paraId="0904088F" w14:textId="77777777" w:rsidR="007F4791" w:rsidRPr="00A25F2C" w:rsidRDefault="007F4791" w:rsidP="00E97A23">
            <w:pPr>
              <w:pStyle w:val="TableBodyText"/>
              <w:jc w:val="right"/>
            </w:pPr>
            <w:r w:rsidRPr="00A25F2C">
              <w:t>100%</w:t>
            </w:r>
          </w:p>
        </w:tc>
        <w:tc>
          <w:tcPr>
            <w:tcW w:w="441" w:type="pct"/>
          </w:tcPr>
          <w:p w14:paraId="0F21F943" w14:textId="77777777" w:rsidR="007F4791" w:rsidRPr="00A25F2C" w:rsidRDefault="007F4791" w:rsidP="00E97A23">
            <w:pPr>
              <w:pStyle w:val="TableBodyText"/>
              <w:jc w:val="right"/>
            </w:pPr>
            <w:r w:rsidRPr="00A25F2C">
              <w:t>100%</w:t>
            </w:r>
          </w:p>
        </w:tc>
        <w:tc>
          <w:tcPr>
            <w:tcW w:w="443" w:type="pct"/>
          </w:tcPr>
          <w:p w14:paraId="11238069" w14:textId="77777777" w:rsidR="007F4791" w:rsidRPr="00A25F2C" w:rsidRDefault="007F4791" w:rsidP="00E97A23">
            <w:pPr>
              <w:pStyle w:val="TableBodyText"/>
              <w:jc w:val="right"/>
            </w:pPr>
            <w:r w:rsidRPr="00A25F2C">
              <w:t>100%</w:t>
            </w:r>
          </w:p>
        </w:tc>
        <w:tc>
          <w:tcPr>
            <w:tcW w:w="431" w:type="pct"/>
          </w:tcPr>
          <w:p w14:paraId="5780765D" w14:textId="77777777" w:rsidR="007F4791" w:rsidRPr="00A25F2C" w:rsidRDefault="007F4791" w:rsidP="00E97A23">
            <w:pPr>
              <w:pStyle w:val="TableBodyText"/>
              <w:jc w:val="right"/>
            </w:pPr>
            <w:r w:rsidRPr="00A25F2C">
              <w:t>100%</w:t>
            </w:r>
          </w:p>
        </w:tc>
      </w:tr>
      <w:tr w:rsidR="00777322" w:rsidRPr="00A25F2C" w14:paraId="0BF872EA" w14:textId="77777777" w:rsidTr="00777322">
        <w:trPr>
          <w:cantSplit/>
        </w:trPr>
        <w:tc>
          <w:tcPr>
            <w:tcW w:w="400" w:type="pct"/>
          </w:tcPr>
          <w:p w14:paraId="043D24F4" w14:textId="77777777" w:rsidR="007F4791" w:rsidRPr="00A25F2C" w:rsidRDefault="007F4791" w:rsidP="004E1FA1">
            <w:pPr>
              <w:pStyle w:val="TableBodyText"/>
            </w:pPr>
            <w:r w:rsidRPr="00A25F2C">
              <w:t>WQ2</w:t>
            </w:r>
          </w:p>
        </w:tc>
        <w:tc>
          <w:tcPr>
            <w:tcW w:w="847" w:type="pct"/>
          </w:tcPr>
          <w:p w14:paraId="38BF5E69" w14:textId="77777777" w:rsidR="007F4791" w:rsidRPr="00A25F2C" w:rsidRDefault="007F4791" w:rsidP="004E1FA1">
            <w:pPr>
              <w:pStyle w:val="TableBodyText"/>
            </w:pPr>
            <w:r w:rsidRPr="00A25F2C">
              <w:t>Water Quality</w:t>
            </w:r>
          </w:p>
        </w:tc>
        <w:tc>
          <w:tcPr>
            <w:tcW w:w="1550" w:type="pct"/>
          </w:tcPr>
          <w:p w14:paraId="2095BDB6" w14:textId="77777777" w:rsidR="007F4791" w:rsidRPr="00A25F2C" w:rsidRDefault="007F4791" w:rsidP="004E1FA1">
            <w:pPr>
              <w:pStyle w:val="TableBodyText"/>
            </w:pPr>
            <w:r w:rsidRPr="00A25F2C">
              <w:t>Compliance with Bulk Water Supply Agreement: Aesthetics – Turbidity</w:t>
            </w:r>
          </w:p>
        </w:tc>
        <w:tc>
          <w:tcPr>
            <w:tcW w:w="444" w:type="pct"/>
          </w:tcPr>
          <w:p w14:paraId="2B9BA13F" w14:textId="77777777" w:rsidR="007F4791" w:rsidRPr="00A25F2C" w:rsidRDefault="007F4791" w:rsidP="00E97A23">
            <w:pPr>
              <w:pStyle w:val="TableBodyText"/>
              <w:jc w:val="right"/>
            </w:pPr>
            <w:r w:rsidRPr="00A25F2C">
              <w:t>91.5%</w:t>
            </w:r>
          </w:p>
        </w:tc>
        <w:tc>
          <w:tcPr>
            <w:tcW w:w="445" w:type="pct"/>
          </w:tcPr>
          <w:p w14:paraId="0C85B539" w14:textId="77777777" w:rsidR="007F4791" w:rsidRPr="00A25F2C" w:rsidRDefault="007F4791" w:rsidP="00E97A23">
            <w:pPr>
              <w:pStyle w:val="TableBodyText"/>
              <w:jc w:val="right"/>
            </w:pPr>
            <w:r w:rsidRPr="00A25F2C">
              <w:t>91.5%</w:t>
            </w:r>
          </w:p>
        </w:tc>
        <w:tc>
          <w:tcPr>
            <w:tcW w:w="441" w:type="pct"/>
          </w:tcPr>
          <w:p w14:paraId="0085FC31" w14:textId="77777777" w:rsidR="007F4791" w:rsidRPr="00A25F2C" w:rsidRDefault="007F4791" w:rsidP="00E97A23">
            <w:pPr>
              <w:pStyle w:val="TableBodyText"/>
              <w:jc w:val="right"/>
            </w:pPr>
            <w:r w:rsidRPr="00A25F2C">
              <w:t>91.5%</w:t>
            </w:r>
          </w:p>
        </w:tc>
        <w:tc>
          <w:tcPr>
            <w:tcW w:w="443" w:type="pct"/>
          </w:tcPr>
          <w:p w14:paraId="2F2884EC" w14:textId="77777777" w:rsidR="007F4791" w:rsidRPr="00A25F2C" w:rsidRDefault="007F4791" w:rsidP="00E97A23">
            <w:pPr>
              <w:pStyle w:val="TableBodyText"/>
              <w:jc w:val="right"/>
            </w:pPr>
            <w:r w:rsidRPr="00A25F2C">
              <w:t>91.5%</w:t>
            </w:r>
          </w:p>
        </w:tc>
        <w:tc>
          <w:tcPr>
            <w:tcW w:w="431" w:type="pct"/>
          </w:tcPr>
          <w:p w14:paraId="40801027" w14:textId="77777777" w:rsidR="007F4791" w:rsidRPr="00A25F2C" w:rsidRDefault="007F4791" w:rsidP="00E97A23">
            <w:pPr>
              <w:pStyle w:val="TableBodyText"/>
              <w:jc w:val="right"/>
            </w:pPr>
            <w:r w:rsidRPr="00A25F2C">
              <w:t>91.5%</w:t>
            </w:r>
          </w:p>
        </w:tc>
      </w:tr>
      <w:tr w:rsidR="00777322" w:rsidRPr="00A25F2C" w14:paraId="0F06DA48" w14:textId="77777777" w:rsidTr="00777322">
        <w:trPr>
          <w:cantSplit/>
        </w:trPr>
        <w:tc>
          <w:tcPr>
            <w:tcW w:w="400" w:type="pct"/>
          </w:tcPr>
          <w:p w14:paraId="70FE518A" w14:textId="77777777" w:rsidR="007F4791" w:rsidRPr="00A25F2C" w:rsidRDefault="007F4791" w:rsidP="004E1FA1">
            <w:pPr>
              <w:pStyle w:val="TableBodyText"/>
            </w:pPr>
            <w:r w:rsidRPr="00A25F2C">
              <w:t>CRM1</w:t>
            </w:r>
          </w:p>
        </w:tc>
        <w:tc>
          <w:tcPr>
            <w:tcW w:w="847" w:type="pct"/>
          </w:tcPr>
          <w:p w14:paraId="678AFFD6" w14:textId="77777777" w:rsidR="007F4791" w:rsidRPr="00A25F2C" w:rsidRDefault="007F4791" w:rsidP="004E1FA1">
            <w:pPr>
              <w:pStyle w:val="TableBodyText"/>
            </w:pPr>
            <w:r w:rsidRPr="00A25F2C">
              <w:t>Customer responsiveness</w:t>
            </w:r>
          </w:p>
        </w:tc>
        <w:tc>
          <w:tcPr>
            <w:tcW w:w="1550" w:type="pct"/>
          </w:tcPr>
          <w:p w14:paraId="5A859360" w14:textId="77777777" w:rsidR="007F4791" w:rsidRPr="00A25F2C" w:rsidRDefault="007F4791" w:rsidP="004E1FA1">
            <w:pPr>
              <w:pStyle w:val="TableBodyText"/>
            </w:pPr>
            <w:r w:rsidRPr="00A25F2C">
              <w:t>Complaints referred to Electricity and Water Ombudsman Victoria responded to within EWOV established time</w:t>
            </w:r>
          </w:p>
        </w:tc>
        <w:tc>
          <w:tcPr>
            <w:tcW w:w="444" w:type="pct"/>
          </w:tcPr>
          <w:p w14:paraId="5EBAF9DD" w14:textId="77777777" w:rsidR="007F4791" w:rsidRPr="00A25F2C" w:rsidRDefault="007F4791" w:rsidP="00E97A23">
            <w:pPr>
              <w:pStyle w:val="TableBodyText"/>
              <w:jc w:val="right"/>
            </w:pPr>
            <w:r w:rsidRPr="00A25F2C">
              <w:t>100%</w:t>
            </w:r>
          </w:p>
        </w:tc>
        <w:tc>
          <w:tcPr>
            <w:tcW w:w="445" w:type="pct"/>
          </w:tcPr>
          <w:p w14:paraId="011180F6" w14:textId="77777777" w:rsidR="007F4791" w:rsidRPr="00A25F2C" w:rsidRDefault="007F4791" w:rsidP="00E97A23">
            <w:pPr>
              <w:pStyle w:val="TableBodyText"/>
              <w:jc w:val="right"/>
            </w:pPr>
            <w:r w:rsidRPr="00A25F2C">
              <w:t>100%</w:t>
            </w:r>
          </w:p>
        </w:tc>
        <w:tc>
          <w:tcPr>
            <w:tcW w:w="441" w:type="pct"/>
          </w:tcPr>
          <w:p w14:paraId="1B500EAF" w14:textId="77777777" w:rsidR="007F4791" w:rsidRPr="00A25F2C" w:rsidRDefault="007F4791" w:rsidP="00E97A23">
            <w:pPr>
              <w:pStyle w:val="TableBodyText"/>
              <w:jc w:val="right"/>
            </w:pPr>
            <w:r w:rsidRPr="00A25F2C">
              <w:t>100%</w:t>
            </w:r>
          </w:p>
        </w:tc>
        <w:tc>
          <w:tcPr>
            <w:tcW w:w="443" w:type="pct"/>
          </w:tcPr>
          <w:p w14:paraId="4216D757" w14:textId="77777777" w:rsidR="007F4791" w:rsidRPr="00A25F2C" w:rsidRDefault="007F4791" w:rsidP="00E97A23">
            <w:pPr>
              <w:pStyle w:val="TableBodyText"/>
              <w:jc w:val="right"/>
            </w:pPr>
            <w:r w:rsidRPr="00A25F2C">
              <w:t>100%</w:t>
            </w:r>
          </w:p>
        </w:tc>
        <w:tc>
          <w:tcPr>
            <w:tcW w:w="431" w:type="pct"/>
          </w:tcPr>
          <w:p w14:paraId="7653FC66" w14:textId="77777777" w:rsidR="007F4791" w:rsidRPr="00A25F2C" w:rsidRDefault="007F4791" w:rsidP="00E97A23">
            <w:pPr>
              <w:pStyle w:val="TableBodyText"/>
              <w:jc w:val="right"/>
            </w:pPr>
            <w:r w:rsidRPr="00A25F2C">
              <w:t>100%</w:t>
            </w:r>
          </w:p>
        </w:tc>
      </w:tr>
      <w:tr w:rsidR="00777322" w:rsidRPr="00A25F2C" w14:paraId="0B8E5325" w14:textId="77777777" w:rsidTr="00777322">
        <w:trPr>
          <w:cantSplit/>
        </w:trPr>
        <w:tc>
          <w:tcPr>
            <w:tcW w:w="400" w:type="pct"/>
          </w:tcPr>
          <w:p w14:paraId="720A1A73" w14:textId="77777777" w:rsidR="007F4791" w:rsidRPr="00A25F2C" w:rsidRDefault="007F4791" w:rsidP="004E1FA1">
            <w:pPr>
              <w:pStyle w:val="TableBodyText"/>
            </w:pPr>
            <w:r w:rsidRPr="00A25F2C">
              <w:t>EM1</w:t>
            </w:r>
          </w:p>
        </w:tc>
        <w:tc>
          <w:tcPr>
            <w:tcW w:w="847" w:type="pct"/>
          </w:tcPr>
          <w:p w14:paraId="08A5A6A4" w14:textId="578964BC" w:rsidR="007F4791" w:rsidRPr="00A25F2C" w:rsidRDefault="007F4791" w:rsidP="004E1FA1">
            <w:pPr>
              <w:pStyle w:val="TableBodyText"/>
            </w:pPr>
            <w:r w:rsidRPr="00A25F2C">
              <w:t xml:space="preserve">Non-compliance with other </w:t>
            </w:r>
            <w:r w:rsidR="009448C3">
              <w:t>Environment Protection Authority</w:t>
            </w:r>
            <w:r w:rsidRPr="00A25F2C">
              <w:t xml:space="preserve"> Victoria License and SEPP parameters – Sewerage system failure</w:t>
            </w:r>
          </w:p>
        </w:tc>
        <w:tc>
          <w:tcPr>
            <w:tcW w:w="1550" w:type="pct"/>
          </w:tcPr>
          <w:p w14:paraId="6FAFCC88" w14:textId="77777777" w:rsidR="007F4791" w:rsidRPr="00A25F2C" w:rsidRDefault="007F4791" w:rsidP="004E1FA1">
            <w:pPr>
              <w:pStyle w:val="TableBodyText"/>
            </w:pPr>
            <w:r w:rsidRPr="00A25F2C">
              <w:t>Spills due to sewerage system failure</w:t>
            </w:r>
          </w:p>
        </w:tc>
        <w:tc>
          <w:tcPr>
            <w:tcW w:w="444" w:type="pct"/>
          </w:tcPr>
          <w:p w14:paraId="173133BC" w14:textId="77777777" w:rsidR="007F4791" w:rsidRPr="00A25F2C" w:rsidRDefault="007F4791" w:rsidP="00E97A23">
            <w:pPr>
              <w:pStyle w:val="TableBodyText"/>
              <w:jc w:val="right"/>
            </w:pPr>
            <w:r w:rsidRPr="00A25F2C">
              <w:t>0</w:t>
            </w:r>
          </w:p>
        </w:tc>
        <w:tc>
          <w:tcPr>
            <w:tcW w:w="445" w:type="pct"/>
          </w:tcPr>
          <w:p w14:paraId="217F136B" w14:textId="77777777" w:rsidR="007F4791" w:rsidRPr="00A25F2C" w:rsidRDefault="007F4791" w:rsidP="00E97A23">
            <w:pPr>
              <w:pStyle w:val="TableBodyText"/>
              <w:jc w:val="right"/>
            </w:pPr>
            <w:r w:rsidRPr="00A25F2C">
              <w:t>0</w:t>
            </w:r>
          </w:p>
        </w:tc>
        <w:tc>
          <w:tcPr>
            <w:tcW w:w="441" w:type="pct"/>
          </w:tcPr>
          <w:p w14:paraId="086C8363" w14:textId="77777777" w:rsidR="007F4791" w:rsidRPr="00A25F2C" w:rsidRDefault="007F4791" w:rsidP="00E97A23">
            <w:pPr>
              <w:pStyle w:val="TableBodyText"/>
              <w:jc w:val="right"/>
            </w:pPr>
            <w:r w:rsidRPr="00A25F2C">
              <w:t>0</w:t>
            </w:r>
          </w:p>
        </w:tc>
        <w:tc>
          <w:tcPr>
            <w:tcW w:w="443" w:type="pct"/>
          </w:tcPr>
          <w:p w14:paraId="040D61D1" w14:textId="77777777" w:rsidR="007F4791" w:rsidRPr="00A25F2C" w:rsidRDefault="007F4791" w:rsidP="00E97A23">
            <w:pPr>
              <w:pStyle w:val="TableBodyText"/>
              <w:jc w:val="right"/>
            </w:pPr>
            <w:r w:rsidRPr="00A25F2C">
              <w:t>0</w:t>
            </w:r>
          </w:p>
        </w:tc>
        <w:tc>
          <w:tcPr>
            <w:tcW w:w="431" w:type="pct"/>
          </w:tcPr>
          <w:p w14:paraId="72C50644" w14:textId="77777777" w:rsidR="007F4791" w:rsidRPr="00A25F2C" w:rsidRDefault="007F4791" w:rsidP="00E97A23">
            <w:pPr>
              <w:pStyle w:val="TableBodyText"/>
              <w:jc w:val="right"/>
            </w:pPr>
            <w:r w:rsidRPr="00A25F2C">
              <w:t>0</w:t>
            </w:r>
          </w:p>
        </w:tc>
      </w:tr>
      <w:tr w:rsidR="00777322" w:rsidRPr="00A25F2C" w14:paraId="52B5B08E" w14:textId="77777777" w:rsidTr="00777322">
        <w:trPr>
          <w:cantSplit/>
        </w:trPr>
        <w:tc>
          <w:tcPr>
            <w:tcW w:w="400" w:type="pct"/>
          </w:tcPr>
          <w:p w14:paraId="6E187068" w14:textId="77777777" w:rsidR="00025489" w:rsidRPr="00A25F2C" w:rsidRDefault="00025489" w:rsidP="004E1FA1">
            <w:pPr>
              <w:pStyle w:val="TableBodyText"/>
            </w:pPr>
            <w:r w:rsidRPr="00A25F2C">
              <w:t>EM2</w:t>
            </w:r>
          </w:p>
        </w:tc>
        <w:tc>
          <w:tcPr>
            <w:tcW w:w="847" w:type="pct"/>
          </w:tcPr>
          <w:p w14:paraId="7F3327DA" w14:textId="058812AB" w:rsidR="00025489" w:rsidRPr="00A25F2C" w:rsidRDefault="00025489" w:rsidP="00025489">
            <w:pPr>
              <w:pStyle w:val="TableBodyText"/>
            </w:pPr>
            <w:r w:rsidRPr="00A25F2C">
              <w:t xml:space="preserve">Compliance with </w:t>
            </w:r>
            <w:r w:rsidR="009448C3">
              <w:t>Environment Protection Authority</w:t>
            </w:r>
            <w:r w:rsidRPr="00A25F2C">
              <w:t xml:space="preserve"> Victoria discharge parameter licence requirements</w:t>
            </w:r>
          </w:p>
        </w:tc>
        <w:tc>
          <w:tcPr>
            <w:tcW w:w="1550" w:type="pct"/>
          </w:tcPr>
          <w:p w14:paraId="688CCE14" w14:textId="039B9E4B" w:rsidR="00025489" w:rsidRPr="00A25F2C" w:rsidRDefault="00995D31" w:rsidP="00025489">
            <w:pPr>
              <w:pStyle w:val="TableBodyText"/>
            </w:pPr>
            <w:r>
              <w:t>N/A</w:t>
            </w:r>
          </w:p>
        </w:tc>
        <w:tc>
          <w:tcPr>
            <w:tcW w:w="444" w:type="pct"/>
          </w:tcPr>
          <w:p w14:paraId="3A9D27F0" w14:textId="1A4FFFE3" w:rsidR="00025489" w:rsidRPr="00A25F2C" w:rsidRDefault="00995D31" w:rsidP="00E97A23">
            <w:pPr>
              <w:pStyle w:val="TableBodyText"/>
              <w:jc w:val="right"/>
            </w:pPr>
            <w:r>
              <w:t>N/A</w:t>
            </w:r>
          </w:p>
        </w:tc>
        <w:tc>
          <w:tcPr>
            <w:tcW w:w="445" w:type="pct"/>
          </w:tcPr>
          <w:p w14:paraId="3A11FA3B" w14:textId="679AAAC5" w:rsidR="00025489" w:rsidRPr="00A25F2C" w:rsidRDefault="00995D31" w:rsidP="00E97A23">
            <w:pPr>
              <w:spacing w:before="0" w:after="0"/>
              <w:jc w:val="right"/>
            </w:pPr>
            <w:r>
              <w:t>N/A</w:t>
            </w:r>
          </w:p>
        </w:tc>
        <w:tc>
          <w:tcPr>
            <w:tcW w:w="441" w:type="pct"/>
          </w:tcPr>
          <w:p w14:paraId="5EB96D51" w14:textId="22FC53E7" w:rsidR="00025489" w:rsidRPr="00A25F2C" w:rsidRDefault="00995D31" w:rsidP="00E97A23">
            <w:pPr>
              <w:spacing w:before="0" w:after="0"/>
              <w:jc w:val="right"/>
            </w:pPr>
            <w:r>
              <w:t>N/A</w:t>
            </w:r>
          </w:p>
        </w:tc>
        <w:tc>
          <w:tcPr>
            <w:tcW w:w="443" w:type="pct"/>
          </w:tcPr>
          <w:p w14:paraId="0AA3ABFF" w14:textId="31153C96" w:rsidR="00025489" w:rsidRPr="00A25F2C" w:rsidRDefault="00995D31" w:rsidP="00E97A23">
            <w:pPr>
              <w:spacing w:before="0" w:after="0"/>
              <w:jc w:val="right"/>
            </w:pPr>
            <w:r>
              <w:t>N/A</w:t>
            </w:r>
          </w:p>
        </w:tc>
        <w:tc>
          <w:tcPr>
            <w:tcW w:w="431" w:type="pct"/>
          </w:tcPr>
          <w:p w14:paraId="440A1ADF" w14:textId="2FB2B650" w:rsidR="00025489" w:rsidRPr="00A25F2C" w:rsidRDefault="00995D31" w:rsidP="00E97A23">
            <w:pPr>
              <w:pStyle w:val="TableBodyText"/>
              <w:jc w:val="right"/>
            </w:pPr>
            <w:r>
              <w:t>N/A</w:t>
            </w:r>
          </w:p>
        </w:tc>
      </w:tr>
      <w:tr w:rsidR="00777322" w:rsidRPr="00A25F2C" w14:paraId="3A28F543" w14:textId="77777777" w:rsidTr="00777322">
        <w:trPr>
          <w:cantSplit/>
        </w:trPr>
        <w:tc>
          <w:tcPr>
            <w:tcW w:w="400" w:type="pct"/>
          </w:tcPr>
          <w:p w14:paraId="1F4325BC" w14:textId="77777777" w:rsidR="007F4791" w:rsidRPr="00A25F2C" w:rsidRDefault="007F4791" w:rsidP="004E1FA1">
            <w:pPr>
              <w:pStyle w:val="TableBodyText"/>
            </w:pPr>
            <w:r w:rsidRPr="00A25F2C">
              <w:t>EM2.1</w:t>
            </w:r>
          </w:p>
        </w:tc>
        <w:tc>
          <w:tcPr>
            <w:tcW w:w="847" w:type="pct"/>
          </w:tcPr>
          <w:p w14:paraId="6E0B5138" w14:textId="77777777" w:rsidR="007F4791" w:rsidRPr="00A25F2C" w:rsidRDefault="007F4791" w:rsidP="004E1FA1">
            <w:pPr>
              <w:pStyle w:val="TableBodyText"/>
            </w:pPr>
            <w:r w:rsidRPr="00A25F2C">
              <w:t>Western Treatment Plant</w:t>
            </w:r>
          </w:p>
        </w:tc>
        <w:tc>
          <w:tcPr>
            <w:tcW w:w="1550" w:type="pct"/>
          </w:tcPr>
          <w:p w14:paraId="4337CCD3" w14:textId="4D667918" w:rsidR="007F4791" w:rsidRPr="00A25F2C" w:rsidRDefault="00995D31" w:rsidP="007F4791">
            <w:pPr>
              <w:spacing w:before="0" w:after="0"/>
            </w:pPr>
            <w:r>
              <w:t>N/A</w:t>
            </w:r>
          </w:p>
        </w:tc>
        <w:tc>
          <w:tcPr>
            <w:tcW w:w="444" w:type="pct"/>
          </w:tcPr>
          <w:p w14:paraId="4EB9A1AE" w14:textId="77777777" w:rsidR="007F4791" w:rsidRPr="00A25F2C" w:rsidRDefault="007F4791" w:rsidP="00E97A23">
            <w:pPr>
              <w:pStyle w:val="TableBodyText"/>
              <w:jc w:val="right"/>
            </w:pPr>
            <w:r w:rsidRPr="00A25F2C">
              <w:t>100%</w:t>
            </w:r>
          </w:p>
        </w:tc>
        <w:tc>
          <w:tcPr>
            <w:tcW w:w="445" w:type="pct"/>
          </w:tcPr>
          <w:p w14:paraId="427C60AF" w14:textId="77777777" w:rsidR="007F4791" w:rsidRPr="00A25F2C" w:rsidRDefault="007F4791" w:rsidP="00E97A23">
            <w:pPr>
              <w:pStyle w:val="TableBodyText"/>
              <w:jc w:val="right"/>
            </w:pPr>
            <w:r w:rsidRPr="00A25F2C">
              <w:t>100%</w:t>
            </w:r>
          </w:p>
        </w:tc>
        <w:tc>
          <w:tcPr>
            <w:tcW w:w="441" w:type="pct"/>
          </w:tcPr>
          <w:p w14:paraId="3895F690" w14:textId="77777777" w:rsidR="007F4791" w:rsidRPr="00A25F2C" w:rsidRDefault="007F4791" w:rsidP="00E97A23">
            <w:pPr>
              <w:pStyle w:val="TableBodyText"/>
              <w:jc w:val="right"/>
            </w:pPr>
            <w:r w:rsidRPr="00A25F2C">
              <w:t>100%</w:t>
            </w:r>
          </w:p>
        </w:tc>
        <w:tc>
          <w:tcPr>
            <w:tcW w:w="443" w:type="pct"/>
          </w:tcPr>
          <w:p w14:paraId="6C20B5BF" w14:textId="77777777" w:rsidR="007F4791" w:rsidRPr="00A25F2C" w:rsidRDefault="007F4791" w:rsidP="00E97A23">
            <w:pPr>
              <w:pStyle w:val="TableBodyText"/>
              <w:jc w:val="right"/>
            </w:pPr>
            <w:r w:rsidRPr="00A25F2C">
              <w:t>100%</w:t>
            </w:r>
          </w:p>
        </w:tc>
        <w:tc>
          <w:tcPr>
            <w:tcW w:w="431" w:type="pct"/>
          </w:tcPr>
          <w:p w14:paraId="3DE94C82" w14:textId="77777777" w:rsidR="007F4791" w:rsidRPr="00A25F2C" w:rsidRDefault="007F4791" w:rsidP="00E97A23">
            <w:pPr>
              <w:pStyle w:val="TableBodyText"/>
              <w:jc w:val="right"/>
            </w:pPr>
            <w:r w:rsidRPr="00A25F2C">
              <w:t>100%</w:t>
            </w:r>
          </w:p>
        </w:tc>
      </w:tr>
      <w:tr w:rsidR="00777322" w:rsidRPr="00A25F2C" w14:paraId="2CCDDCAD" w14:textId="77777777" w:rsidTr="00777322">
        <w:trPr>
          <w:cantSplit/>
        </w:trPr>
        <w:tc>
          <w:tcPr>
            <w:tcW w:w="400" w:type="pct"/>
          </w:tcPr>
          <w:p w14:paraId="5055E39B" w14:textId="77777777" w:rsidR="007F4791" w:rsidRPr="00A25F2C" w:rsidRDefault="007F4791" w:rsidP="004E1FA1">
            <w:pPr>
              <w:pStyle w:val="TableBodyText"/>
            </w:pPr>
            <w:r w:rsidRPr="00A25F2C">
              <w:t>EM2.2</w:t>
            </w:r>
          </w:p>
        </w:tc>
        <w:tc>
          <w:tcPr>
            <w:tcW w:w="847" w:type="pct"/>
          </w:tcPr>
          <w:p w14:paraId="0A098A1A" w14:textId="77777777" w:rsidR="007F4791" w:rsidRPr="00A25F2C" w:rsidRDefault="007F4791" w:rsidP="004E1FA1">
            <w:pPr>
              <w:pStyle w:val="TableBodyText"/>
            </w:pPr>
            <w:r w:rsidRPr="00A25F2C">
              <w:t>Eastern Treatment Plant</w:t>
            </w:r>
          </w:p>
        </w:tc>
        <w:tc>
          <w:tcPr>
            <w:tcW w:w="1550" w:type="pct"/>
          </w:tcPr>
          <w:p w14:paraId="2B03C44A" w14:textId="15A0A150" w:rsidR="007F4791" w:rsidRPr="00A25F2C" w:rsidRDefault="00995D31" w:rsidP="007F4791">
            <w:pPr>
              <w:spacing w:before="0" w:after="0"/>
            </w:pPr>
            <w:r>
              <w:t>N/A</w:t>
            </w:r>
          </w:p>
        </w:tc>
        <w:tc>
          <w:tcPr>
            <w:tcW w:w="444" w:type="pct"/>
          </w:tcPr>
          <w:p w14:paraId="4A8E113D" w14:textId="77777777" w:rsidR="007F4791" w:rsidRPr="00A25F2C" w:rsidRDefault="007F4791" w:rsidP="00E97A23">
            <w:pPr>
              <w:pStyle w:val="TableBodyText"/>
              <w:jc w:val="right"/>
            </w:pPr>
            <w:r w:rsidRPr="00A25F2C">
              <w:t>100%</w:t>
            </w:r>
          </w:p>
        </w:tc>
        <w:tc>
          <w:tcPr>
            <w:tcW w:w="445" w:type="pct"/>
          </w:tcPr>
          <w:p w14:paraId="47384081" w14:textId="77777777" w:rsidR="007F4791" w:rsidRPr="00A25F2C" w:rsidRDefault="007F4791" w:rsidP="00E97A23">
            <w:pPr>
              <w:pStyle w:val="TableBodyText"/>
              <w:jc w:val="right"/>
            </w:pPr>
            <w:r w:rsidRPr="00A25F2C">
              <w:t>100%</w:t>
            </w:r>
          </w:p>
        </w:tc>
        <w:tc>
          <w:tcPr>
            <w:tcW w:w="441" w:type="pct"/>
          </w:tcPr>
          <w:p w14:paraId="540F6B8E" w14:textId="77777777" w:rsidR="007F4791" w:rsidRPr="00A25F2C" w:rsidRDefault="007F4791" w:rsidP="00E97A23">
            <w:pPr>
              <w:pStyle w:val="TableBodyText"/>
              <w:jc w:val="right"/>
            </w:pPr>
            <w:r w:rsidRPr="00A25F2C">
              <w:t>100%</w:t>
            </w:r>
          </w:p>
        </w:tc>
        <w:tc>
          <w:tcPr>
            <w:tcW w:w="443" w:type="pct"/>
          </w:tcPr>
          <w:p w14:paraId="6E9E067E" w14:textId="77777777" w:rsidR="007F4791" w:rsidRPr="00A25F2C" w:rsidRDefault="007F4791" w:rsidP="00E97A23">
            <w:pPr>
              <w:pStyle w:val="TableBodyText"/>
              <w:jc w:val="right"/>
            </w:pPr>
            <w:r w:rsidRPr="00A25F2C">
              <w:t>100%</w:t>
            </w:r>
          </w:p>
        </w:tc>
        <w:tc>
          <w:tcPr>
            <w:tcW w:w="431" w:type="pct"/>
          </w:tcPr>
          <w:p w14:paraId="3F6BFCCB" w14:textId="77777777" w:rsidR="007F4791" w:rsidRPr="00A25F2C" w:rsidRDefault="007F4791" w:rsidP="00E97A23">
            <w:pPr>
              <w:pStyle w:val="TableBodyText"/>
              <w:jc w:val="right"/>
            </w:pPr>
            <w:r w:rsidRPr="00A25F2C">
              <w:t>100%</w:t>
            </w:r>
          </w:p>
        </w:tc>
      </w:tr>
      <w:tr w:rsidR="00777322" w:rsidRPr="00A25F2C" w14:paraId="1127B170" w14:textId="77777777" w:rsidTr="00777322">
        <w:trPr>
          <w:cantSplit/>
        </w:trPr>
        <w:tc>
          <w:tcPr>
            <w:tcW w:w="400" w:type="pct"/>
          </w:tcPr>
          <w:p w14:paraId="7097A605" w14:textId="77777777" w:rsidR="007F4791" w:rsidRPr="00A25F2C" w:rsidRDefault="007F4791" w:rsidP="004E1FA1">
            <w:pPr>
              <w:pStyle w:val="TableBodyText"/>
            </w:pPr>
            <w:r w:rsidRPr="00A25F2C">
              <w:t>E2</w:t>
            </w:r>
          </w:p>
        </w:tc>
        <w:tc>
          <w:tcPr>
            <w:tcW w:w="847" w:type="pct"/>
          </w:tcPr>
          <w:p w14:paraId="04C91178" w14:textId="7D8D8370" w:rsidR="007F4791" w:rsidRPr="00A25F2C" w:rsidRDefault="007F4791" w:rsidP="004E1FA1">
            <w:pPr>
              <w:pStyle w:val="TableBodyText"/>
            </w:pPr>
            <w:r w:rsidRPr="00A25F2C">
              <w:t>Total net CO</w:t>
            </w:r>
            <w:r w:rsidRPr="00A25F2C">
              <w:rPr>
                <w:vertAlign w:val="subscript"/>
              </w:rPr>
              <w:t>2</w:t>
            </w:r>
            <w:r w:rsidRPr="00A25F2C">
              <w:t xml:space="preserve"> emissions</w:t>
            </w:r>
            <w:r w:rsidR="00E97A23">
              <w:t xml:space="preserve"> </w:t>
            </w:r>
            <w:r w:rsidR="00E97A23">
              <w:br/>
            </w:r>
            <w:hyperlink w:anchor="Note1" w:history="1">
              <w:r w:rsidR="00E97A23" w:rsidRPr="00E97A23">
                <w:rPr>
                  <w:rStyle w:val="Hyperlink"/>
                </w:rPr>
                <w:t>See note</w:t>
              </w:r>
            </w:hyperlink>
          </w:p>
        </w:tc>
        <w:tc>
          <w:tcPr>
            <w:tcW w:w="1550" w:type="pct"/>
          </w:tcPr>
          <w:p w14:paraId="30AFE19E" w14:textId="77777777" w:rsidR="007F4791" w:rsidRPr="00A25F2C" w:rsidRDefault="007F4791" w:rsidP="004E1FA1">
            <w:pPr>
              <w:pStyle w:val="TableBodyText"/>
            </w:pPr>
            <w:r w:rsidRPr="00A25F2C">
              <w:t>Net tonnes CO</w:t>
            </w:r>
            <w:r w:rsidRPr="00A25F2C">
              <w:rPr>
                <w:vertAlign w:val="subscript"/>
              </w:rPr>
              <w:t>2</w:t>
            </w:r>
            <w:r w:rsidRPr="00A25F2C">
              <w:t xml:space="preserve"> equivalent</w:t>
            </w:r>
          </w:p>
        </w:tc>
        <w:tc>
          <w:tcPr>
            <w:tcW w:w="444" w:type="pct"/>
          </w:tcPr>
          <w:p w14:paraId="666F26A4" w14:textId="77777777" w:rsidR="007F4791" w:rsidRPr="00A25F2C" w:rsidRDefault="007F4791" w:rsidP="00E97A23">
            <w:pPr>
              <w:pStyle w:val="TableBodyText"/>
              <w:jc w:val="right"/>
            </w:pPr>
            <w:r w:rsidRPr="00A25F2C">
              <w:t>480,000</w:t>
            </w:r>
          </w:p>
        </w:tc>
        <w:tc>
          <w:tcPr>
            <w:tcW w:w="445" w:type="pct"/>
          </w:tcPr>
          <w:p w14:paraId="512A3CEA" w14:textId="77777777" w:rsidR="007F4791" w:rsidRPr="00A25F2C" w:rsidRDefault="007F4791" w:rsidP="00E97A23">
            <w:pPr>
              <w:pStyle w:val="TableBodyText"/>
              <w:jc w:val="right"/>
            </w:pPr>
            <w:r w:rsidRPr="00A25F2C">
              <w:t>480,000</w:t>
            </w:r>
          </w:p>
        </w:tc>
        <w:tc>
          <w:tcPr>
            <w:tcW w:w="441" w:type="pct"/>
          </w:tcPr>
          <w:p w14:paraId="5C6FC6F4" w14:textId="77777777" w:rsidR="007F4791" w:rsidRPr="00A25F2C" w:rsidRDefault="007F4791" w:rsidP="00E97A23">
            <w:pPr>
              <w:pStyle w:val="TableBodyText"/>
              <w:jc w:val="right"/>
            </w:pPr>
            <w:r w:rsidRPr="00A25F2C">
              <w:t>204,380</w:t>
            </w:r>
          </w:p>
        </w:tc>
        <w:tc>
          <w:tcPr>
            <w:tcW w:w="443" w:type="pct"/>
          </w:tcPr>
          <w:p w14:paraId="473078B3" w14:textId="77777777" w:rsidR="007F4791" w:rsidRPr="00A25F2C" w:rsidRDefault="007F4791" w:rsidP="00E97A23">
            <w:pPr>
              <w:pStyle w:val="TableBodyText"/>
              <w:jc w:val="right"/>
            </w:pPr>
            <w:r w:rsidRPr="00A25F2C">
              <w:t>204,380</w:t>
            </w:r>
          </w:p>
        </w:tc>
        <w:tc>
          <w:tcPr>
            <w:tcW w:w="431" w:type="pct"/>
          </w:tcPr>
          <w:p w14:paraId="299340BF" w14:textId="77777777" w:rsidR="007F4791" w:rsidRPr="00A25F2C" w:rsidRDefault="007F4791" w:rsidP="00E97A23">
            <w:pPr>
              <w:pStyle w:val="TableBodyText"/>
              <w:jc w:val="right"/>
            </w:pPr>
            <w:r w:rsidRPr="00A25F2C">
              <w:t>204,380</w:t>
            </w:r>
          </w:p>
        </w:tc>
      </w:tr>
      <w:tr w:rsidR="00777322" w:rsidRPr="00A25F2C" w14:paraId="4E68D499" w14:textId="77777777" w:rsidTr="00777322">
        <w:trPr>
          <w:cantSplit/>
        </w:trPr>
        <w:tc>
          <w:tcPr>
            <w:tcW w:w="400" w:type="pct"/>
          </w:tcPr>
          <w:p w14:paraId="296FC8C9" w14:textId="77777777" w:rsidR="007F4791" w:rsidRPr="00A25F2C" w:rsidRDefault="007F4791" w:rsidP="004E1FA1">
            <w:pPr>
              <w:pStyle w:val="TableBodyText"/>
            </w:pPr>
            <w:r w:rsidRPr="00A25F2C">
              <w:t>WW1</w:t>
            </w:r>
          </w:p>
        </w:tc>
        <w:tc>
          <w:tcPr>
            <w:tcW w:w="847" w:type="pct"/>
          </w:tcPr>
          <w:p w14:paraId="407694A5" w14:textId="77777777" w:rsidR="007F4791" w:rsidRPr="00A25F2C" w:rsidRDefault="007F4791" w:rsidP="004E1FA1">
            <w:pPr>
              <w:pStyle w:val="TableBodyText"/>
            </w:pPr>
            <w:r w:rsidRPr="00A25F2C">
              <w:t>Waterways – Drainage and flood protection</w:t>
            </w:r>
          </w:p>
        </w:tc>
        <w:tc>
          <w:tcPr>
            <w:tcW w:w="1550" w:type="pct"/>
          </w:tcPr>
          <w:p w14:paraId="20315EAD" w14:textId="77777777" w:rsidR="007F4791" w:rsidRPr="00A25F2C" w:rsidRDefault="007F4791" w:rsidP="004E1FA1">
            <w:pPr>
              <w:pStyle w:val="TableBodyText"/>
            </w:pPr>
            <w:r w:rsidRPr="00A25F2C">
              <w:t>Reduction in flood damages over the lifetime of works</w:t>
            </w:r>
          </w:p>
        </w:tc>
        <w:tc>
          <w:tcPr>
            <w:tcW w:w="444" w:type="pct"/>
          </w:tcPr>
          <w:p w14:paraId="11E72ED9" w14:textId="77777777" w:rsidR="007F4791" w:rsidRPr="00A25F2C" w:rsidRDefault="007F4791" w:rsidP="00E97A23">
            <w:pPr>
              <w:pStyle w:val="TableBodyText"/>
              <w:jc w:val="right"/>
            </w:pPr>
            <w:r w:rsidRPr="00A25F2C">
              <w:t>$63M</w:t>
            </w:r>
          </w:p>
        </w:tc>
        <w:tc>
          <w:tcPr>
            <w:tcW w:w="445" w:type="pct"/>
          </w:tcPr>
          <w:p w14:paraId="41BBD6ED" w14:textId="77777777" w:rsidR="007F4791" w:rsidRPr="00A25F2C" w:rsidRDefault="007F4791" w:rsidP="00E97A23">
            <w:pPr>
              <w:pStyle w:val="TableBodyText"/>
              <w:jc w:val="right"/>
            </w:pPr>
            <w:r w:rsidRPr="00A25F2C">
              <w:t>$109M</w:t>
            </w:r>
          </w:p>
        </w:tc>
        <w:tc>
          <w:tcPr>
            <w:tcW w:w="441" w:type="pct"/>
          </w:tcPr>
          <w:p w14:paraId="1E5708DC" w14:textId="77777777" w:rsidR="007F4791" w:rsidRPr="00A25F2C" w:rsidRDefault="007F4791" w:rsidP="00E97A23">
            <w:pPr>
              <w:pStyle w:val="TableBodyText"/>
              <w:jc w:val="right"/>
            </w:pPr>
            <w:r w:rsidRPr="00A25F2C">
              <w:t>$155M</w:t>
            </w:r>
          </w:p>
        </w:tc>
        <w:tc>
          <w:tcPr>
            <w:tcW w:w="443" w:type="pct"/>
          </w:tcPr>
          <w:p w14:paraId="505A9ECF" w14:textId="77777777" w:rsidR="007F4791" w:rsidRPr="00A25F2C" w:rsidRDefault="007F4791" w:rsidP="00E97A23">
            <w:pPr>
              <w:pStyle w:val="TableBodyText"/>
              <w:jc w:val="right"/>
            </w:pPr>
            <w:r w:rsidRPr="00A25F2C">
              <w:t>$201M</w:t>
            </w:r>
          </w:p>
        </w:tc>
        <w:tc>
          <w:tcPr>
            <w:tcW w:w="431" w:type="pct"/>
          </w:tcPr>
          <w:p w14:paraId="5CCD6356" w14:textId="77777777" w:rsidR="007F4791" w:rsidRPr="00A25F2C" w:rsidRDefault="007F4791" w:rsidP="00E97A23">
            <w:pPr>
              <w:pStyle w:val="TableBodyText"/>
              <w:jc w:val="right"/>
            </w:pPr>
            <w:r w:rsidRPr="00A25F2C">
              <w:t>$247M</w:t>
            </w:r>
          </w:p>
        </w:tc>
      </w:tr>
      <w:tr w:rsidR="00777322" w:rsidRPr="00A25F2C" w14:paraId="773EE711" w14:textId="77777777" w:rsidTr="00777322">
        <w:trPr>
          <w:cantSplit/>
        </w:trPr>
        <w:tc>
          <w:tcPr>
            <w:tcW w:w="400" w:type="pct"/>
          </w:tcPr>
          <w:p w14:paraId="26B0E32D" w14:textId="77777777" w:rsidR="007F4791" w:rsidRPr="00A25F2C" w:rsidRDefault="007F4791" w:rsidP="004E1FA1">
            <w:pPr>
              <w:pStyle w:val="TableBodyText"/>
            </w:pPr>
            <w:r w:rsidRPr="00A25F2C">
              <w:t>WW2</w:t>
            </w:r>
          </w:p>
        </w:tc>
        <w:tc>
          <w:tcPr>
            <w:tcW w:w="847" w:type="pct"/>
          </w:tcPr>
          <w:p w14:paraId="6B07F6E8" w14:textId="77777777" w:rsidR="007F4791" w:rsidRPr="00A25F2C" w:rsidRDefault="007F4791" w:rsidP="004E1FA1">
            <w:pPr>
              <w:pStyle w:val="TableBodyText"/>
            </w:pPr>
            <w:r w:rsidRPr="00A25F2C">
              <w:t>Waterways condition</w:t>
            </w:r>
          </w:p>
        </w:tc>
        <w:tc>
          <w:tcPr>
            <w:tcW w:w="1550" w:type="pct"/>
          </w:tcPr>
          <w:p w14:paraId="2B982003" w14:textId="77777777" w:rsidR="007F4791" w:rsidRPr="00A25F2C" w:rsidRDefault="007F4791" w:rsidP="004E1FA1">
            <w:pPr>
              <w:pStyle w:val="TableBodyText"/>
            </w:pPr>
            <w:r w:rsidRPr="00A25F2C">
              <w:t>Maintain river health (% of 10 target sites at high-value rating)</w:t>
            </w:r>
          </w:p>
        </w:tc>
        <w:tc>
          <w:tcPr>
            <w:tcW w:w="444" w:type="pct"/>
          </w:tcPr>
          <w:p w14:paraId="0610E524" w14:textId="77777777" w:rsidR="007F4791" w:rsidRPr="00A25F2C" w:rsidRDefault="007F4791" w:rsidP="00E97A23">
            <w:pPr>
              <w:pStyle w:val="TableBodyText"/>
              <w:jc w:val="right"/>
            </w:pPr>
            <w:r w:rsidRPr="00A25F2C">
              <w:t>100%</w:t>
            </w:r>
          </w:p>
        </w:tc>
        <w:tc>
          <w:tcPr>
            <w:tcW w:w="445" w:type="pct"/>
          </w:tcPr>
          <w:p w14:paraId="51334595" w14:textId="77777777" w:rsidR="007F4791" w:rsidRPr="00A25F2C" w:rsidRDefault="007F4791" w:rsidP="00E97A23">
            <w:pPr>
              <w:pStyle w:val="TableBodyText"/>
              <w:jc w:val="right"/>
            </w:pPr>
            <w:r w:rsidRPr="00A25F2C">
              <w:t>100%</w:t>
            </w:r>
          </w:p>
        </w:tc>
        <w:tc>
          <w:tcPr>
            <w:tcW w:w="441" w:type="pct"/>
          </w:tcPr>
          <w:p w14:paraId="3701451D" w14:textId="77777777" w:rsidR="007F4791" w:rsidRPr="00A25F2C" w:rsidRDefault="007F4791" w:rsidP="00E97A23">
            <w:pPr>
              <w:pStyle w:val="TableBodyText"/>
              <w:jc w:val="right"/>
            </w:pPr>
            <w:r w:rsidRPr="00A25F2C">
              <w:t>100%</w:t>
            </w:r>
          </w:p>
        </w:tc>
        <w:tc>
          <w:tcPr>
            <w:tcW w:w="443" w:type="pct"/>
          </w:tcPr>
          <w:p w14:paraId="46C53729" w14:textId="77777777" w:rsidR="007F4791" w:rsidRPr="00A25F2C" w:rsidRDefault="007F4791" w:rsidP="00E97A23">
            <w:pPr>
              <w:pStyle w:val="TableBodyText"/>
              <w:jc w:val="right"/>
            </w:pPr>
            <w:r w:rsidRPr="00A25F2C">
              <w:t>100%</w:t>
            </w:r>
          </w:p>
        </w:tc>
        <w:tc>
          <w:tcPr>
            <w:tcW w:w="431" w:type="pct"/>
          </w:tcPr>
          <w:p w14:paraId="16E200A1" w14:textId="77777777" w:rsidR="007F4791" w:rsidRPr="00A25F2C" w:rsidRDefault="007F4791" w:rsidP="00E97A23">
            <w:pPr>
              <w:pStyle w:val="TableBodyText"/>
              <w:jc w:val="right"/>
            </w:pPr>
            <w:r w:rsidRPr="00A25F2C">
              <w:t>100%</w:t>
            </w:r>
          </w:p>
        </w:tc>
      </w:tr>
      <w:tr w:rsidR="00777322" w:rsidRPr="00A25F2C" w14:paraId="6CC4AD55" w14:textId="77777777" w:rsidTr="00777322">
        <w:trPr>
          <w:cantSplit/>
        </w:trPr>
        <w:tc>
          <w:tcPr>
            <w:tcW w:w="400" w:type="pct"/>
          </w:tcPr>
          <w:p w14:paraId="43337B6D" w14:textId="77777777" w:rsidR="00025489" w:rsidRPr="00A25F2C" w:rsidRDefault="00025489" w:rsidP="004E1FA1">
            <w:pPr>
              <w:pStyle w:val="TableBodyText"/>
            </w:pPr>
            <w:r w:rsidRPr="00A25F2C">
              <w:t>RW1</w:t>
            </w:r>
          </w:p>
        </w:tc>
        <w:tc>
          <w:tcPr>
            <w:tcW w:w="847" w:type="pct"/>
          </w:tcPr>
          <w:p w14:paraId="2912CF01" w14:textId="77777777" w:rsidR="00025489" w:rsidRPr="00A25F2C" w:rsidRDefault="00025489" w:rsidP="004E1FA1">
            <w:pPr>
              <w:pStyle w:val="TableBodyText"/>
            </w:pPr>
            <w:r w:rsidRPr="00A25F2C">
              <w:t>Recycled water</w:t>
            </w:r>
          </w:p>
        </w:tc>
        <w:tc>
          <w:tcPr>
            <w:tcW w:w="1550" w:type="pct"/>
          </w:tcPr>
          <w:p w14:paraId="005A0CA5" w14:textId="77777777" w:rsidR="00025489" w:rsidRPr="00A25F2C" w:rsidRDefault="00025489" w:rsidP="00777322">
            <w:pPr>
              <w:pStyle w:val="TableBodyText"/>
            </w:pPr>
            <w:r w:rsidRPr="00A25F2C">
              <w:t>Western Treatment Plant recycled water schemes fully compliant with regulatory obligations and their contractual requirements, as outlined in the relevant Bulk Water Supply Agreement</w:t>
            </w:r>
          </w:p>
        </w:tc>
        <w:tc>
          <w:tcPr>
            <w:tcW w:w="444" w:type="pct"/>
          </w:tcPr>
          <w:p w14:paraId="19A3CE11" w14:textId="77777777" w:rsidR="00025489" w:rsidRPr="00A25F2C" w:rsidRDefault="00025489" w:rsidP="00E97A23">
            <w:pPr>
              <w:pStyle w:val="TableBodyText"/>
              <w:jc w:val="right"/>
            </w:pPr>
          </w:p>
        </w:tc>
        <w:tc>
          <w:tcPr>
            <w:tcW w:w="445" w:type="pct"/>
          </w:tcPr>
          <w:p w14:paraId="3C251787" w14:textId="77777777" w:rsidR="00025489" w:rsidRPr="00A25F2C" w:rsidRDefault="00025489" w:rsidP="00E97A23">
            <w:pPr>
              <w:pStyle w:val="TableBodyText"/>
              <w:jc w:val="right"/>
            </w:pPr>
          </w:p>
        </w:tc>
        <w:tc>
          <w:tcPr>
            <w:tcW w:w="441" w:type="pct"/>
          </w:tcPr>
          <w:p w14:paraId="76046479" w14:textId="77777777" w:rsidR="00025489" w:rsidRPr="00A25F2C" w:rsidRDefault="00025489" w:rsidP="00E97A23">
            <w:pPr>
              <w:pStyle w:val="TableBodyText"/>
              <w:jc w:val="right"/>
            </w:pPr>
          </w:p>
        </w:tc>
        <w:tc>
          <w:tcPr>
            <w:tcW w:w="443" w:type="pct"/>
          </w:tcPr>
          <w:p w14:paraId="218F5E7C" w14:textId="77777777" w:rsidR="00025489" w:rsidRPr="00A25F2C" w:rsidRDefault="00025489" w:rsidP="00E97A23">
            <w:pPr>
              <w:pStyle w:val="TableBodyText"/>
              <w:jc w:val="right"/>
            </w:pPr>
          </w:p>
        </w:tc>
        <w:tc>
          <w:tcPr>
            <w:tcW w:w="431" w:type="pct"/>
          </w:tcPr>
          <w:p w14:paraId="519C1B00" w14:textId="31ED86D3" w:rsidR="00025489" w:rsidRPr="00A25F2C" w:rsidRDefault="00025489" w:rsidP="00E97A23">
            <w:pPr>
              <w:pStyle w:val="TableBodyText"/>
              <w:jc w:val="right"/>
            </w:pPr>
          </w:p>
        </w:tc>
      </w:tr>
      <w:tr w:rsidR="00777322" w:rsidRPr="00A25F2C" w14:paraId="5E5139EA" w14:textId="77777777" w:rsidTr="00777322">
        <w:trPr>
          <w:cantSplit/>
        </w:trPr>
        <w:tc>
          <w:tcPr>
            <w:tcW w:w="400" w:type="pct"/>
          </w:tcPr>
          <w:p w14:paraId="503A8A04" w14:textId="77777777" w:rsidR="007F4791" w:rsidRPr="00A25F2C" w:rsidRDefault="007F4791" w:rsidP="004E1FA1">
            <w:pPr>
              <w:pStyle w:val="TableBodyText"/>
            </w:pPr>
            <w:r w:rsidRPr="00A25F2C">
              <w:t>RW1.1</w:t>
            </w:r>
          </w:p>
        </w:tc>
        <w:tc>
          <w:tcPr>
            <w:tcW w:w="847" w:type="pct"/>
          </w:tcPr>
          <w:p w14:paraId="70CDAA45" w14:textId="77777777" w:rsidR="007F4791" w:rsidRPr="00A25F2C" w:rsidRDefault="007F4791" w:rsidP="004E1FA1">
            <w:pPr>
              <w:pStyle w:val="TableBodyText"/>
            </w:pPr>
            <w:r w:rsidRPr="00A25F2C">
              <w:t>Volume demands</w:t>
            </w:r>
          </w:p>
        </w:tc>
        <w:tc>
          <w:tcPr>
            <w:tcW w:w="1550" w:type="pct"/>
          </w:tcPr>
          <w:p w14:paraId="1D0A0BB6" w14:textId="77777777" w:rsidR="007F4791" w:rsidRPr="00A25F2C" w:rsidRDefault="007F4791" w:rsidP="004E1FA1">
            <w:pPr>
              <w:pStyle w:val="TableBodyText"/>
            </w:pPr>
            <w:r w:rsidRPr="00A25F2C">
              <w:t>% supplied of target</w:t>
            </w:r>
          </w:p>
        </w:tc>
        <w:tc>
          <w:tcPr>
            <w:tcW w:w="444" w:type="pct"/>
          </w:tcPr>
          <w:p w14:paraId="256FF54C" w14:textId="77777777" w:rsidR="007F4791" w:rsidRPr="00A25F2C" w:rsidRDefault="007F4791" w:rsidP="00E97A23">
            <w:pPr>
              <w:pStyle w:val="TableBodyText"/>
              <w:jc w:val="right"/>
            </w:pPr>
            <w:r w:rsidRPr="00A25F2C">
              <w:t>100%</w:t>
            </w:r>
          </w:p>
        </w:tc>
        <w:tc>
          <w:tcPr>
            <w:tcW w:w="445" w:type="pct"/>
          </w:tcPr>
          <w:p w14:paraId="53223695" w14:textId="77777777" w:rsidR="007F4791" w:rsidRPr="00A25F2C" w:rsidRDefault="007F4791" w:rsidP="00E97A23">
            <w:pPr>
              <w:pStyle w:val="TableBodyText"/>
              <w:jc w:val="right"/>
            </w:pPr>
            <w:r w:rsidRPr="00A25F2C">
              <w:t>100%</w:t>
            </w:r>
          </w:p>
        </w:tc>
        <w:tc>
          <w:tcPr>
            <w:tcW w:w="441" w:type="pct"/>
          </w:tcPr>
          <w:p w14:paraId="6294C107" w14:textId="77777777" w:rsidR="007F4791" w:rsidRPr="00A25F2C" w:rsidRDefault="007F4791" w:rsidP="00E97A23">
            <w:pPr>
              <w:pStyle w:val="TableBodyText"/>
              <w:jc w:val="right"/>
            </w:pPr>
            <w:r w:rsidRPr="00A25F2C">
              <w:t>100%</w:t>
            </w:r>
          </w:p>
        </w:tc>
        <w:tc>
          <w:tcPr>
            <w:tcW w:w="443" w:type="pct"/>
          </w:tcPr>
          <w:p w14:paraId="7FBE0DA5" w14:textId="77777777" w:rsidR="007F4791" w:rsidRPr="00A25F2C" w:rsidRDefault="007F4791" w:rsidP="00E97A23">
            <w:pPr>
              <w:pStyle w:val="TableBodyText"/>
              <w:jc w:val="right"/>
            </w:pPr>
            <w:r w:rsidRPr="00A25F2C">
              <w:t>100%</w:t>
            </w:r>
          </w:p>
        </w:tc>
        <w:tc>
          <w:tcPr>
            <w:tcW w:w="431" w:type="pct"/>
          </w:tcPr>
          <w:p w14:paraId="391E668E" w14:textId="77777777" w:rsidR="007F4791" w:rsidRPr="00A25F2C" w:rsidRDefault="007F4791" w:rsidP="00E97A23">
            <w:pPr>
              <w:pStyle w:val="TableBodyText"/>
              <w:jc w:val="right"/>
            </w:pPr>
            <w:r w:rsidRPr="00A25F2C">
              <w:t>100%</w:t>
            </w:r>
          </w:p>
        </w:tc>
      </w:tr>
      <w:tr w:rsidR="00777322" w:rsidRPr="00A25F2C" w14:paraId="67A2C79C" w14:textId="77777777" w:rsidTr="00777322">
        <w:trPr>
          <w:cantSplit/>
        </w:trPr>
        <w:tc>
          <w:tcPr>
            <w:tcW w:w="400" w:type="pct"/>
          </w:tcPr>
          <w:p w14:paraId="6D27A829" w14:textId="77777777" w:rsidR="007F4791" w:rsidRPr="00A25F2C" w:rsidRDefault="007F4791" w:rsidP="004E1FA1">
            <w:pPr>
              <w:pStyle w:val="TableBodyText"/>
            </w:pPr>
            <w:r w:rsidRPr="00A25F2C">
              <w:t>RW1.3</w:t>
            </w:r>
          </w:p>
        </w:tc>
        <w:tc>
          <w:tcPr>
            <w:tcW w:w="847" w:type="pct"/>
          </w:tcPr>
          <w:p w14:paraId="256B2B27" w14:textId="77777777" w:rsidR="007F4791" w:rsidRPr="00A25F2C" w:rsidRDefault="007F4791" w:rsidP="004E1FA1">
            <w:pPr>
              <w:pStyle w:val="TableBodyText"/>
            </w:pPr>
            <w:r w:rsidRPr="00A25F2C">
              <w:t>Quality</w:t>
            </w:r>
          </w:p>
        </w:tc>
        <w:tc>
          <w:tcPr>
            <w:tcW w:w="1550" w:type="pct"/>
          </w:tcPr>
          <w:p w14:paraId="1B632D32" w14:textId="77777777" w:rsidR="007F4791" w:rsidRPr="00A25F2C" w:rsidRDefault="007F4791" w:rsidP="004E1FA1">
            <w:pPr>
              <w:pStyle w:val="TableBodyText"/>
            </w:pPr>
            <w:r w:rsidRPr="00A25F2C">
              <w:t>% hours at target quality</w:t>
            </w:r>
          </w:p>
        </w:tc>
        <w:tc>
          <w:tcPr>
            <w:tcW w:w="444" w:type="pct"/>
          </w:tcPr>
          <w:p w14:paraId="46C98937" w14:textId="77777777" w:rsidR="007F4791" w:rsidRPr="00A25F2C" w:rsidRDefault="007F4791" w:rsidP="00E97A23">
            <w:pPr>
              <w:pStyle w:val="TableBodyText"/>
              <w:jc w:val="right"/>
            </w:pPr>
            <w:r w:rsidRPr="00A25F2C">
              <w:t>100%</w:t>
            </w:r>
          </w:p>
        </w:tc>
        <w:tc>
          <w:tcPr>
            <w:tcW w:w="445" w:type="pct"/>
          </w:tcPr>
          <w:p w14:paraId="3CA1E9B5" w14:textId="77777777" w:rsidR="007F4791" w:rsidRPr="00A25F2C" w:rsidRDefault="007F4791" w:rsidP="00E97A23">
            <w:pPr>
              <w:pStyle w:val="TableBodyText"/>
              <w:jc w:val="right"/>
            </w:pPr>
            <w:r w:rsidRPr="00A25F2C">
              <w:t>100%</w:t>
            </w:r>
          </w:p>
        </w:tc>
        <w:tc>
          <w:tcPr>
            <w:tcW w:w="441" w:type="pct"/>
          </w:tcPr>
          <w:p w14:paraId="2A8F9FB8" w14:textId="77777777" w:rsidR="007F4791" w:rsidRPr="00A25F2C" w:rsidRDefault="007F4791" w:rsidP="00E97A23">
            <w:pPr>
              <w:pStyle w:val="TableBodyText"/>
              <w:jc w:val="right"/>
            </w:pPr>
            <w:r w:rsidRPr="00A25F2C">
              <w:t>100%</w:t>
            </w:r>
          </w:p>
        </w:tc>
        <w:tc>
          <w:tcPr>
            <w:tcW w:w="443" w:type="pct"/>
          </w:tcPr>
          <w:p w14:paraId="62EF1CF3" w14:textId="77777777" w:rsidR="007F4791" w:rsidRPr="00A25F2C" w:rsidRDefault="007F4791" w:rsidP="00E97A23">
            <w:pPr>
              <w:pStyle w:val="TableBodyText"/>
              <w:jc w:val="right"/>
            </w:pPr>
            <w:r w:rsidRPr="00A25F2C">
              <w:t>100%</w:t>
            </w:r>
          </w:p>
        </w:tc>
        <w:tc>
          <w:tcPr>
            <w:tcW w:w="431" w:type="pct"/>
          </w:tcPr>
          <w:p w14:paraId="0A367E95" w14:textId="77777777" w:rsidR="007F4791" w:rsidRPr="00A25F2C" w:rsidRDefault="007F4791" w:rsidP="00E97A23">
            <w:pPr>
              <w:pStyle w:val="TableBodyText"/>
              <w:jc w:val="right"/>
            </w:pPr>
            <w:r w:rsidRPr="00A25F2C">
              <w:t>100%</w:t>
            </w:r>
          </w:p>
        </w:tc>
      </w:tr>
      <w:tr w:rsidR="00777322" w:rsidRPr="00A25F2C" w14:paraId="33971998" w14:textId="77777777" w:rsidTr="00777322">
        <w:trPr>
          <w:cantSplit/>
        </w:trPr>
        <w:tc>
          <w:tcPr>
            <w:tcW w:w="400" w:type="pct"/>
          </w:tcPr>
          <w:p w14:paraId="6AD08F53" w14:textId="77777777" w:rsidR="00777322" w:rsidRPr="00A25F2C" w:rsidRDefault="00777322" w:rsidP="004E1FA1">
            <w:pPr>
              <w:pStyle w:val="TableBodyText"/>
            </w:pPr>
            <w:r w:rsidRPr="00A25F2C">
              <w:lastRenderedPageBreak/>
              <w:t>RW2</w:t>
            </w:r>
          </w:p>
        </w:tc>
        <w:tc>
          <w:tcPr>
            <w:tcW w:w="847" w:type="pct"/>
          </w:tcPr>
          <w:p w14:paraId="5E175352" w14:textId="77777777" w:rsidR="00777322" w:rsidRPr="00A25F2C" w:rsidRDefault="00777322" w:rsidP="004E1FA1">
            <w:pPr>
              <w:pStyle w:val="TableBodyText"/>
            </w:pPr>
            <w:r w:rsidRPr="00A25F2C">
              <w:t>Recycled water</w:t>
            </w:r>
          </w:p>
        </w:tc>
        <w:tc>
          <w:tcPr>
            <w:tcW w:w="1550" w:type="pct"/>
          </w:tcPr>
          <w:p w14:paraId="00C26756" w14:textId="77777777" w:rsidR="00777322" w:rsidRPr="00A25F2C" w:rsidRDefault="00777322" w:rsidP="00777322">
            <w:pPr>
              <w:pStyle w:val="TableBodyText"/>
            </w:pPr>
            <w:r w:rsidRPr="00A25F2C">
              <w:t>Eastern Treatment Plant recycled water schemes fully compliant with regulatory obligations and their contractual requirements, as outlined in the relevant Bulk Water Supply Agreement</w:t>
            </w:r>
          </w:p>
        </w:tc>
        <w:tc>
          <w:tcPr>
            <w:tcW w:w="444" w:type="pct"/>
          </w:tcPr>
          <w:p w14:paraId="3D02EE3D" w14:textId="77777777" w:rsidR="00777322" w:rsidRPr="00A25F2C" w:rsidRDefault="00777322" w:rsidP="00E97A23">
            <w:pPr>
              <w:pStyle w:val="TableBodyText"/>
              <w:jc w:val="right"/>
            </w:pPr>
          </w:p>
        </w:tc>
        <w:tc>
          <w:tcPr>
            <w:tcW w:w="445" w:type="pct"/>
          </w:tcPr>
          <w:p w14:paraId="347A6324" w14:textId="77777777" w:rsidR="00777322" w:rsidRPr="00777322" w:rsidRDefault="00777322" w:rsidP="00E97A23">
            <w:pPr>
              <w:pStyle w:val="TableBodyText"/>
              <w:jc w:val="right"/>
              <w:rPr>
                <w:i/>
                <w:iCs/>
              </w:rPr>
            </w:pPr>
          </w:p>
        </w:tc>
        <w:tc>
          <w:tcPr>
            <w:tcW w:w="441" w:type="pct"/>
          </w:tcPr>
          <w:p w14:paraId="563A3E3C" w14:textId="77777777" w:rsidR="00777322" w:rsidRPr="00A25F2C" w:rsidRDefault="00777322" w:rsidP="00E97A23">
            <w:pPr>
              <w:pStyle w:val="TableBodyText"/>
              <w:jc w:val="right"/>
            </w:pPr>
          </w:p>
        </w:tc>
        <w:tc>
          <w:tcPr>
            <w:tcW w:w="443" w:type="pct"/>
          </w:tcPr>
          <w:p w14:paraId="13725BB1" w14:textId="77777777" w:rsidR="00777322" w:rsidRPr="00A25F2C" w:rsidRDefault="00777322" w:rsidP="00E97A23">
            <w:pPr>
              <w:pStyle w:val="TableBodyText"/>
              <w:jc w:val="right"/>
            </w:pPr>
          </w:p>
        </w:tc>
        <w:tc>
          <w:tcPr>
            <w:tcW w:w="431" w:type="pct"/>
          </w:tcPr>
          <w:p w14:paraId="3FE4477B" w14:textId="09E712A1" w:rsidR="00777322" w:rsidRPr="00A25F2C" w:rsidRDefault="00777322" w:rsidP="00E97A23">
            <w:pPr>
              <w:pStyle w:val="TableBodyText"/>
              <w:jc w:val="right"/>
            </w:pPr>
          </w:p>
        </w:tc>
      </w:tr>
      <w:tr w:rsidR="00777322" w:rsidRPr="00A25F2C" w14:paraId="04AE6286" w14:textId="77777777" w:rsidTr="00777322">
        <w:trPr>
          <w:cantSplit/>
        </w:trPr>
        <w:tc>
          <w:tcPr>
            <w:tcW w:w="400" w:type="pct"/>
          </w:tcPr>
          <w:p w14:paraId="46BDA2E0" w14:textId="77777777" w:rsidR="007F4791" w:rsidRPr="00A25F2C" w:rsidRDefault="007F4791" w:rsidP="004E1FA1">
            <w:pPr>
              <w:pStyle w:val="TableBodyText"/>
            </w:pPr>
            <w:r w:rsidRPr="00A25F2C">
              <w:t>RW2.1</w:t>
            </w:r>
          </w:p>
        </w:tc>
        <w:tc>
          <w:tcPr>
            <w:tcW w:w="847" w:type="pct"/>
          </w:tcPr>
          <w:p w14:paraId="741E503A" w14:textId="77777777" w:rsidR="007F4791" w:rsidRPr="00A25F2C" w:rsidRDefault="007F4791" w:rsidP="004E1FA1">
            <w:pPr>
              <w:pStyle w:val="TableBodyText"/>
            </w:pPr>
            <w:r w:rsidRPr="00A25F2C">
              <w:t>Volume demands</w:t>
            </w:r>
          </w:p>
        </w:tc>
        <w:tc>
          <w:tcPr>
            <w:tcW w:w="1550" w:type="pct"/>
          </w:tcPr>
          <w:p w14:paraId="49F8ADA4" w14:textId="77777777" w:rsidR="007F4791" w:rsidRPr="00A25F2C" w:rsidRDefault="007F4791" w:rsidP="004E1FA1">
            <w:pPr>
              <w:pStyle w:val="TableBodyText"/>
            </w:pPr>
            <w:r w:rsidRPr="00A25F2C">
              <w:t>% supplied of target</w:t>
            </w:r>
          </w:p>
        </w:tc>
        <w:tc>
          <w:tcPr>
            <w:tcW w:w="444" w:type="pct"/>
          </w:tcPr>
          <w:p w14:paraId="642A4E0F" w14:textId="77777777" w:rsidR="007F4791" w:rsidRPr="00A25F2C" w:rsidRDefault="007F4791" w:rsidP="00E97A23">
            <w:pPr>
              <w:pStyle w:val="TableBodyText"/>
              <w:jc w:val="right"/>
            </w:pPr>
            <w:r w:rsidRPr="00A25F2C">
              <w:t>100%</w:t>
            </w:r>
          </w:p>
        </w:tc>
        <w:tc>
          <w:tcPr>
            <w:tcW w:w="445" w:type="pct"/>
          </w:tcPr>
          <w:p w14:paraId="46017B5A" w14:textId="77777777" w:rsidR="007F4791" w:rsidRPr="00A25F2C" w:rsidRDefault="007F4791" w:rsidP="00E97A23">
            <w:pPr>
              <w:pStyle w:val="TableBodyText"/>
              <w:jc w:val="right"/>
            </w:pPr>
            <w:r w:rsidRPr="00A25F2C">
              <w:t>100%</w:t>
            </w:r>
          </w:p>
        </w:tc>
        <w:tc>
          <w:tcPr>
            <w:tcW w:w="441" w:type="pct"/>
          </w:tcPr>
          <w:p w14:paraId="41E606BC" w14:textId="77777777" w:rsidR="007F4791" w:rsidRPr="00A25F2C" w:rsidRDefault="007F4791" w:rsidP="00E97A23">
            <w:pPr>
              <w:pStyle w:val="TableBodyText"/>
              <w:jc w:val="right"/>
            </w:pPr>
            <w:r w:rsidRPr="00A25F2C">
              <w:t>100%</w:t>
            </w:r>
          </w:p>
        </w:tc>
        <w:tc>
          <w:tcPr>
            <w:tcW w:w="443" w:type="pct"/>
          </w:tcPr>
          <w:p w14:paraId="309D2860" w14:textId="77777777" w:rsidR="007F4791" w:rsidRPr="00A25F2C" w:rsidRDefault="007F4791" w:rsidP="00E97A23">
            <w:pPr>
              <w:pStyle w:val="TableBodyText"/>
              <w:jc w:val="right"/>
            </w:pPr>
            <w:r w:rsidRPr="00A25F2C">
              <w:t>100%</w:t>
            </w:r>
          </w:p>
        </w:tc>
        <w:tc>
          <w:tcPr>
            <w:tcW w:w="431" w:type="pct"/>
          </w:tcPr>
          <w:p w14:paraId="1822A8B2" w14:textId="77777777" w:rsidR="007F4791" w:rsidRPr="00A25F2C" w:rsidRDefault="007F4791" w:rsidP="00E97A23">
            <w:pPr>
              <w:pStyle w:val="TableBodyText"/>
              <w:jc w:val="right"/>
            </w:pPr>
            <w:r w:rsidRPr="00A25F2C">
              <w:t>100%</w:t>
            </w:r>
          </w:p>
        </w:tc>
      </w:tr>
      <w:tr w:rsidR="00777322" w:rsidRPr="00A25F2C" w14:paraId="78D07A60" w14:textId="77777777" w:rsidTr="00777322">
        <w:trPr>
          <w:cantSplit/>
        </w:trPr>
        <w:tc>
          <w:tcPr>
            <w:tcW w:w="400" w:type="pct"/>
          </w:tcPr>
          <w:p w14:paraId="31066873" w14:textId="77777777" w:rsidR="007F4791" w:rsidRPr="00A25F2C" w:rsidRDefault="007F4791" w:rsidP="004E1FA1">
            <w:pPr>
              <w:pStyle w:val="TableBodyText"/>
            </w:pPr>
            <w:r w:rsidRPr="00A25F2C">
              <w:t>RW2.3</w:t>
            </w:r>
          </w:p>
        </w:tc>
        <w:tc>
          <w:tcPr>
            <w:tcW w:w="847" w:type="pct"/>
          </w:tcPr>
          <w:p w14:paraId="5DE1DF57" w14:textId="77777777" w:rsidR="007F4791" w:rsidRPr="00A25F2C" w:rsidRDefault="007F4791" w:rsidP="004E1FA1">
            <w:pPr>
              <w:pStyle w:val="TableBodyText"/>
            </w:pPr>
            <w:r w:rsidRPr="00A25F2C">
              <w:t>Quality</w:t>
            </w:r>
          </w:p>
        </w:tc>
        <w:tc>
          <w:tcPr>
            <w:tcW w:w="1550" w:type="pct"/>
          </w:tcPr>
          <w:p w14:paraId="3D41E519" w14:textId="77777777" w:rsidR="007F4791" w:rsidRPr="00A25F2C" w:rsidRDefault="007F4791" w:rsidP="004E1FA1">
            <w:pPr>
              <w:pStyle w:val="TableBodyText"/>
            </w:pPr>
            <w:r w:rsidRPr="00A25F2C">
              <w:t>% hours at target quality</w:t>
            </w:r>
          </w:p>
        </w:tc>
        <w:tc>
          <w:tcPr>
            <w:tcW w:w="444" w:type="pct"/>
          </w:tcPr>
          <w:p w14:paraId="23FEB76A" w14:textId="77777777" w:rsidR="007F4791" w:rsidRPr="00A25F2C" w:rsidRDefault="007F4791" w:rsidP="00E97A23">
            <w:pPr>
              <w:pStyle w:val="TableBodyText"/>
              <w:jc w:val="right"/>
            </w:pPr>
            <w:r w:rsidRPr="00A25F2C">
              <w:t>100%</w:t>
            </w:r>
          </w:p>
        </w:tc>
        <w:tc>
          <w:tcPr>
            <w:tcW w:w="445" w:type="pct"/>
          </w:tcPr>
          <w:p w14:paraId="7DCF3459" w14:textId="77777777" w:rsidR="007F4791" w:rsidRPr="00A25F2C" w:rsidRDefault="007F4791" w:rsidP="00E97A23">
            <w:pPr>
              <w:pStyle w:val="TableBodyText"/>
              <w:jc w:val="right"/>
            </w:pPr>
            <w:r w:rsidRPr="00A25F2C">
              <w:t>100%</w:t>
            </w:r>
          </w:p>
        </w:tc>
        <w:tc>
          <w:tcPr>
            <w:tcW w:w="441" w:type="pct"/>
          </w:tcPr>
          <w:p w14:paraId="1118282E" w14:textId="77777777" w:rsidR="007F4791" w:rsidRPr="00A25F2C" w:rsidRDefault="007F4791" w:rsidP="00E97A23">
            <w:pPr>
              <w:pStyle w:val="TableBodyText"/>
              <w:jc w:val="right"/>
            </w:pPr>
            <w:r w:rsidRPr="00A25F2C">
              <w:t>100%</w:t>
            </w:r>
          </w:p>
        </w:tc>
        <w:tc>
          <w:tcPr>
            <w:tcW w:w="443" w:type="pct"/>
          </w:tcPr>
          <w:p w14:paraId="66CA2B46" w14:textId="77777777" w:rsidR="007F4791" w:rsidRPr="00A25F2C" w:rsidRDefault="007F4791" w:rsidP="00E97A23">
            <w:pPr>
              <w:pStyle w:val="TableBodyText"/>
              <w:jc w:val="right"/>
            </w:pPr>
            <w:r w:rsidRPr="00A25F2C">
              <w:t>100%</w:t>
            </w:r>
          </w:p>
        </w:tc>
        <w:tc>
          <w:tcPr>
            <w:tcW w:w="431" w:type="pct"/>
          </w:tcPr>
          <w:p w14:paraId="74EB0FF7" w14:textId="77777777" w:rsidR="007F4791" w:rsidRPr="00A25F2C" w:rsidRDefault="007F4791" w:rsidP="00E97A23">
            <w:pPr>
              <w:pStyle w:val="TableBodyText"/>
              <w:jc w:val="right"/>
            </w:pPr>
            <w:r w:rsidRPr="00A25F2C">
              <w:t>100%</w:t>
            </w:r>
          </w:p>
        </w:tc>
      </w:tr>
    </w:tbl>
    <w:p w14:paraId="3BDD71E1" w14:textId="36825856" w:rsidR="00E97A23" w:rsidRDefault="007F4791" w:rsidP="00F13D2F">
      <w:pPr>
        <w:pStyle w:val="ListNumber"/>
        <w:numPr>
          <w:ilvl w:val="0"/>
          <w:numId w:val="28"/>
        </w:numPr>
      </w:pPr>
      <w:bookmarkStart w:id="68" w:name="Note1"/>
      <w:bookmarkEnd w:id="68"/>
      <w:r w:rsidRPr="00A25F2C">
        <w:t>Melbourne Water is required to meet its Carbon Pledge of 204,380 tonnes CO2-e in 2024-25 which will require the purchase of offsets.</w:t>
      </w:r>
    </w:p>
    <w:p w14:paraId="023BDDC3" w14:textId="562BDE3A" w:rsidR="007F4791" w:rsidRPr="00A25F2C" w:rsidRDefault="007F4791" w:rsidP="00E97A23">
      <w:pPr>
        <w:pStyle w:val="Heading2"/>
      </w:pPr>
      <w:bookmarkStart w:id="69" w:name="_Toc147756916"/>
      <w:r w:rsidRPr="00A25F2C">
        <w:t>Appendix C – Risk Management</w:t>
      </w:r>
      <w:bookmarkEnd w:id="69"/>
    </w:p>
    <w:p w14:paraId="4DB72B6D" w14:textId="77777777" w:rsidR="007F4791" w:rsidRPr="00A25F2C" w:rsidRDefault="007F4791" w:rsidP="00E97A23">
      <w:pPr>
        <w:pStyle w:val="BodyText"/>
        <w:keepNext/>
        <w:keepLines/>
      </w:pPr>
      <w:r w:rsidRPr="00A25F2C">
        <w:t xml:space="preserve">Melbourne Water continues to enhance our Enterprise Risk Management Framework to continually strive towards best practice and maintain alignment with </w:t>
      </w:r>
      <w:r w:rsidRPr="00A25F2C">
        <w:rPr>
          <w:i/>
        </w:rPr>
        <w:t xml:space="preserve">Australian/New Zealand Risk Management Standard </w:t>
      </w:r>
      <w:r w:rsidRPr="00A25F2C">
        <w:t>(AS/NZS ISO 31000:2018) and meet the requirements of the Victorian Government Risk Management Framework. The framework describes the risk related activities that work together to manage risk and pursue opportunities across the business.</w:t>
      </w:r>
    </w:p>
    <w:p w14:paraId="0709C72D" w14:textId="77777777" w:rsidR="007F4791" w:rsidRPr="00A25F2C" w:rsidRDefault="007F4791" w:rsidP="007F4791">
      <w:pPr>
        <w:pStyle w:val="BodyText"/>
      </w:pPr>
      <w:r w:rsidRPr="00A25F2C">
        <w:t xml:space="preserve">An established </w:t>
      </w:r>
      <w:r w:rsidRPr="00A25F2C">
        <w:rPr>
          <w:i/>
        </w:rPr>
        <w:t xml:space="preserve">Risk Management Policy and Risk Appetite Statement </w:t>
      </w:r>
      <w:r w:rsidRPr="00A25F2C">
        <w:t>sit at the framework’s centre and drive an ongoing management of risks within our risk appetite.</w:t>
      </w:r>
    </w:p>
    <w:p w14:paraId="1D2AB3E9" w14:textId="77777777" w:rsidR="007F4791" w:rsidRPr="00A25F2C" w:rsidRDefault="007F4791" w:rsidP="007F4791">
      <w:pPr>
        <w:pStyle w:val="BodyText"/>
      </w:pPr>
      <w:r w:rsidRPr="00A25F2C">
        <w:t xml:space="preserve">The risk policy, appetite, </w:t>
      </w:r>
      <w:proofErr w:type="gramStart"/>
      <w:r w:rsidRPr="00A25F2C">
        <w:t>framework</w:t>
      </w:r>
      <w:proofErr w:type="gramEnd"/>
      <w:r w:rsidRPr="00A25F2C">
        <w:t xml:space="preserve"> and strategic risks are annually reviewed and approved by the Board.</w:t>
      </w:r>
    </w:p>
    <w:p w14:paraId="0A44ABB8" w14:textId="77777777" w:rsidR="007F4791" w:rsidRPr="00A25F2C" w:rsidRDefault="007F4791" w:rsidP="007F4791">
      <w:pPr>
        <w:pStyle w:val="BodyText"/>
      </w:pPr>
      <w:r w:rsidRPr="00A25F2C">
        <w:t>Assessment of our risk culture is included as part of our Organisational Engagement and Alignment survey which is used for the ongoing development and enhancement of a positive risk culture at Melbourne Water.</w:t>
      </w:r>
    </w:p>
    <w:p w14:paraId="26018FDD" w14:textId="063ED5E9" w:rsidR="00143D6B" w:rsidRDefault="007F4791" w:rsidP="007F4791">
      <w:pPr>
        <w:pStyle w:val="BodyText"/>
      </w:pPr>
      <w:r w:rsidRPr="00A25F2C">
        <w:t xml:space="preserve">Consideration of risk is embedded into our Strategic Planning and Corporate Planning processes. The table below describes the strategic risks and key management actions captured by this </w:t>
      </w:r>
      <w:r w:rsidRPr="00A25F2C">
        <w:rPr>
          <w:i/>
        </w:rPr>
        <w:t>Corporate Plan</w:t>
      </w:r>
      <w:r w:rsidRPr="00A25F2C">
        <w:t>.</w:t>
      </w:r>
    </w:p>
    <w:p w14:paraId="594D3F0C" w14:textId="553C874F" w:rsidR="007F4791" w:rsidRPr="00A25F2C" w:rsidRDefault="00E97A23" w:rsidP="00E97A23">
      <w:pPr>
        <w:pStyle w:val="Caption"/>
      </w:pPr>
      <w:r w:rsidRPr="00E97A23">
        <w:t>Table C1 – Strategic risks and key treatment actions</w:t>
      </w:r>
    </w:p>
    <w:tbl>
      <w:tblPr>
        <w:tblStyle w:val="TableGrid"/>
        <w:tblW w:w="5000" w:type="pct"/>
        <w:tblLook w:val="0620" w:firstRow="1" w:lastRow="0" w:firstColumn="0" w:lastColumn="0" w:noHBand="1" w:noVBand="1"/>
      </w:tblPr>
      <w:tblGrid>
        <w:gridCol w:w="2781"/>
        <w:gridCol w:w="6850"/>
      </w:tblGrid>
      <w:tr w:rsidR="007F4791" w:rsidRPr="00A25F2C" w14:paraId="3EED65DE" w14:textId="77777777" w:rsidTr="00E97A23">
        <w:trPr>
          <w:cnfStyle w:val="100000000000" w:firstRow="1" w:lastRow="0" w:firstColumn="0" w:lastColumn="0" w:oddVBand="0" w:evenVBand="0" w:oddHBand="0" w:evenHBand="0" w:firstRowFirstColumn="0" w:firstRowLastColumn="0" w:lastRowFirstColumn="0" w:lastRowLastColumn="0"/>
          <w:cantSplit/>
          <w:tblHeader/>
        </w:trPr>
        <w:tc>
          <w:tcPr>
            <w:tcW w:w="1444" w:type="pct"/>
          </w:tcPr>
          <w:p w14:paraId="03789E7B" w14:textId="77777777" w:rsidR="007F4791" w:rsidRPr="00A25F2C" w:rsidRDefault="007F4791" w:rsidP="005237E4">
            <w:pPr>
              <w:pStyle w:val="TableBodyText"/>
              <w:spacing w:before="30" w:after="30"/>
            </w:pPr>
            <w:r w:rsidRPr="00A25F2C">
              <w:t>Strategic risks</w:t>
            </w:r>
          </w:p>
        </w:tc>
        <w:tc>
          <w:tcPr>
            <w:tcW w:w="3556" w:type="pct"/>
          </w:tcPr>
          <w:p w14:paraId="45649678" w14:textId="3A6F023B" w:rsidR="007F4791" w:rsidRPr="00A25F2C" w:rsidRDefault="007F4791" w:rsidP="005237E4">
            <w:pPr>
              <w:pStyle w:val="TableBodyText"/>
              <w:spacing w:before="30" w:after="30"/>
            </w:pPr>
            <w:r w:rsidRPr="00A25F2C">
              <w:t>Key risk treatment actions</w:t>
            </w:r>
          </w:p>
        </w:tc>
      </w:tr>
      <w:tr w:rsidR="007F4791" w:rsidRPr="00A25F2C" w14:paraId="14917271" w14:textId="77777777" w:rsidTr="00E97A23">
        <w:trPr>
          <w:cantSplit/>
        </w:trPr>
        <w:tc>
          <w:tcPr>
            <w:tcW w:w="1444" w:type="pct"/>
          </w:tcPr>
          <w:p w14:paraId="1DD0A6A7" w14:textId="77777777" w:rsidR="007F4791" w:rsidRPr="00A25F2C" w:rsidRDefault="007F4791" w:rsidP="005237E4">
            <w:pPr>
              <w:pStyle w:val="TableBodyText"/>
              <w:spacing w:before="30" w:after="30"/>
            </w:pPr>
            <w:r w:rsidRPr="00A25F2C">
              <w:t>The timing and severity of climate change varies significantly from forecasts</w:t>
            </w:r>
          </w:p>
        </w:tc>
        <w:tc>
          <w:tcPr>
            <w:tcW w:w="3556" w:type="pct"/>
          </w:tcPr>
          <w:p w14:paraId="68960A17" w14:textId="77777777" w:rsidR="007F4791" w:rsidRPr="00A25F2C" w:rsidRDefault="007F4791" w:rsidP="005237E4">
            <w:pPr>
              <w:pStyle w:val="TableBullet"/>
              <w:spacing w:before="30" w:after="30"/>
            </w:pPr>
            <w:r w:rsidRPr="00A25F2C">
              <w:t>Deliver the Climate and Resilience Plan</w:t>
            </w:r>
          </w:p>
          <w:p w14:paraId="5F0E01C0" w14:textId="77777777" w:rsidR="007F4791" w:rsidRPr="00A25F2C" w:rsidRDefault="007F4791" w:rsidP="005237E4">
            <w:pPr>
              <w:pStyle w:val="TableBullet"/>
              <w:spacing w:before="30" w:after="30"/>
            </w:pPr>
            <w:r w:rsidRPr="00A25F2C">
              <w:t>Adaptive implementation of our service strategies:</w:t>
            </w:r>
          </w:p>
          <w:p w14:paraId="37660415" w14:textId="77777777" w:rsidR="007F4791" w:rsidRPr="00A25F2C" w:rsidRDefault="007F4791" w:rsidP="005237E4">
            <w:pPr>
              <w:pStyle w:val="TableBullet2"/>
              <w:spacing w:before="30" w:after="30"/>
            </w:pPr>
            <w:r w:rsidRPr="00A25F2C">
              <w:t>Melbourne Water System Strategy</w:t>
            </w:r>
          </w:p>
          <w:p w14:paraId="5FB77198" w14:textId="77777777" w:rsidR="007F4791" w:rsidRPr="00A25F2C" w:rsidRDefault="007F4791" w:rsidP="005237E4">
            <w:pPr>
              <w:pStyle w:val="TableBullet2"/>
              <w:spacing w:before="30" w:after="30"/>
            </w:pPr>
            <w:r w:rsidRPr="00A25F2C">
              <w:t>Drinking Water Quality Strategy</w:t>
            </w:r>
          </w:p>
          <w:p w14:paraId="1B8DB780" w14:textId="77777777" w:rsidR="007F4791" w:rsidRPr="00A25F2C" w:rsidRDefault="007F4791" w:rsidP="005237E4">
            <w:pPr>
              <w:pStyle w:val="TableBullet2"/>
              <w:spacing w:before="30" w:after="30"/>
            </w:pPr>
            <w:r w:rsidRPr="00A25F2C">
              <w:t>Flood Management Strategy</w:t>
            </w:r>
          </w:p>
          <w:p w14:paraId="26C576D4" w14:textId="77777777" w:rsidR="007F4791" w:rsidRPr="00A25F2C" w:rsidRDefault="007F4791" w:rsidP="005237E4">
            <w:pPr>
              <w:pStyle w:val="TableBullet2"/>
              <w:spacing w:before="30" w:after="30"/>
            </w:pPr>
            <w:r w:rsidRPr="00A25F2C">
              <w:t>Healthy Waterways Strategy</w:t>
            </w:r>
          </w:p>
          <w:p w14:paraId="006C67E1" w14:textId="77777777" w:rsidR="007F4791" w:rsidRPr="00A25F2C" w:rsidRDefault="007F4791" w:rsidP="005237E4">
            <w:pPr>
              <w:pStyle w:val="TableBullet2"/>
              <w:spacing w:before="30" w:after="30"/>
            </w:pPr>
            <w:r w:rsidRPr="00A25F2C">
              <w:t>Melbourne Sewerage Strategy</w:t>
            </w:r>
          </w:p>
          <w:p w14:paraId="59D9D371" w14:textId="77777777" w:rsidR="007F4791" w:rsidRPr="00A25F2C" w:rsidRDefault="007F4791" w:rsidP="005237E4">
            <w:pPr>
              <w:pStyle w:val="TableBullet2"/>
              <w:spacing w:before="30" w:after="30"/>
            </w:pPr>
            <w:r w:rsidRPr="00A25F2C">
              <w:t>Drinking Water Quality Strategy</w:t>
            </w:r>
          </w:p>
        </w:tc>
      </w:tr>
      <w:tr w:rsidR="007F4791" w:rsidRPr="00A25F2C" w14:paraId="63264252" w14:textId="77777777" w:rsidTr="00E97A23">
        <w:trPr>
          <w:cantSplit/>
        </w:trPr>
        <w:tc>
          <w:tcPr>
            <w:tcW w:w="1444" w:type="pct"/>
          </w:tcPr>
          <w:p w14:paraId="71CE9762" w14:textId="77777777" w:rsidR="007F4791" w:rsidRPr="00A25F2C" w:rsidRDefault="007F4791" w:rsidP="005237E4">
            <w:pPr>
              <w:pStyle w:val="TableBodyText"/>
              <w:spacing w:before="30" w:after="30"/>
            </w:pPr>
            <w:r w:rsidRPr="00A25F2C">
              <w:lastRenderedPageBreak/>
              <w:t>Inflows into storages vary significantly from long-term forecasts</w:t>
            </w:r>
          </w:p>
        </w:tc>
        <w:tc>
          <w:tcPr>
            <w:tcW w:w="3556" w:type="pct"/>
          </w:tcPr>
          <w:p w14:paraId="1D927B39" w14:textId="77777777" w:rsidR="007F4791" w:rsidRPr="00A25F2C" w:rsidRDefault="007F4791" w:rsidP="005237E4">
            <w:pPr>
              <w:pStyle w:val="TableBullet"/>
              <w:spacing w:before="30" w:after="30"/>
            </w:pPr>
            <w:r w:rsidRPr="00A25F2C">
              <w:t>Implement the Melbourne Water System Strategy and Drinking Water Quality Strategy</w:t>
            </w:r>
          </w:p>
          <w:p w14:paraId="178DED7C" w14:textId="77777777" w:rsidR="007F4791" w:rsidRPr="00A25F2C" w:rsidRDefault="007F4791" w:rsidP="005237E4">
            <w:pPr>
              <w:pStyle w:val="TableBullet"/>
              <w:spacing w:before="30" w:after="30"/>
            </w:pPr>
            <w:r w:rsidRPr="00A25F2C">
              <w:t>Assess the value of activating existing water entitlements in Cement Creek and Bunyip River</w:t>
            </w:r>
          </w:p>
          <w:p w14:paraId="3ADC753B" w14:textId="77777777" w:rsidR="007F4791" w:rsidRPr="00A25F2C" w:rsidRDefault="007F4791" w:rsidP="005237E4">
            <w:pPr>
              <w:pStyle w:val="TableBullet"/>
              <w:spacing w:before="30" w:after="30"/>
            </w:pPr>
            <w:r w:rsidRPr="00A25F2C">
              <w:t>Support implementation of Target 155 campaign</w:t>
            </w:r>
          </w:p>
          <w:p w14:paraId="368A2157" w14:textId="77777777" w:rsidR="007F4791" w:rsidRPr="00A25F2C" w:rsidRDefault="007F4791" w:rsidP="005237E4">
            <w:pPr>
              <w:pStyle w:val="TableBullet"/>
              <w:spacing w:before="30" w:after="30"/>
            </w:pPr>
            <w:r w:rsidRPr="00A25F2C">
              <w:t>Implementation of the Dry Conditions Operating Plan</w:t>
            </w:r>
          </w:p>
          <w:p w14:paraId="6C2DD654" w14:textId="77777777" w:rsidR="007F4791" w:rsidRPr="00A25F2C" w:rsidRDefault="007F4791" w:rsidP="005237E4">
            <w:pPr>
              <w:pStyle w:val="TableBullet"/>
              <w:spacing w:before="30" w:after="30"/>
            </w:pPr>
            <w:r w:rsidRPr="00A25F2C">
              <w:t>Raising water literacy campaign</w:t>
            </w:r>
          </w:p>
          <w:p w14:paraId="3584388C" w14:textId="77777777" w:rsidR="007F4791" w:rsidRPr="00A25F2C" w:rsidRDefault="007F4791" w:rsidP="005237E4">
            <w:pPr>
              <w:pStyle w:val="TableBullet"/>
              <w:spacing w:before="30" w:after="30"/>
            </w:pPr>
            <w:r w:rsidRPr="00A25F2C">
              <w:t>Explore Integrated Water Initiatives</w:t>
            </w:r>
          </w:p>
          <w:p w14:paraId="2C7A1938" w14:textId="77777777" w:rsidR="007F4791" w:rsidRPr="00A25F2C" w:rsidRDefault="007F4791" w:rsidP="005237E4">
            <w:pPr>
              <w:pStyle w:val="TableBullet"/>
              <w:spacing w:before="30" w:after="30"/>
            </w:pPr>
            <w:r w:rsidRPr="00A25F2C">
              <w:t>Supporting forthcoming review of the Central and Gippsland Region Sustainable Water Strategy</w:t>
            </w:r>
          </w:p>
        </w:tc>
      </w:tr>
      <w:tr w:rsidR="007F4791" w:rsidRPr="00A25F2C" w14:paraId="67D6F14E" w14:textId="77777777" w:rsidTr="00E97A23">
        <w:trPr>
          <w:cantSplit/>
        </w:trPr>
        <w:tc>
          <w:tcPr>
            <w:tcW w:w="1444" w:type="pct"/>
          </w:tcPr>
          <w:p w14:paraId="149415E6" w14:textId="77777777" w:rsidR="007F4791" w:rsidRPr="00A25F2C" w:rsidRDefault="007F4791" w:rsidP="005237E4">
            <w:pPr>
              <w:pStyle w:val="TableBodyText"/>
              <w:spacing w:before="30" w:after="30"/>
            </w:pPr>
            <w:r w:rsidRPr="00A25F2C">
              <w:t>Population growth varies significantly from forecasts</w:t>
            </w:r>
          </w:p>
        </w:tc>
        <w:tc>
          <w:tcPr>
            <w:tcW w:w="3556" w:type="pct"/>
          </w:tcPr>
          <w:p w14:paraId="1018D70C" w14:textId="77777777" w:rsidR="007F4791" w:rsidRPr="00A25F2C" w:rsidRDefault="007F4791" w:rsidP="005237E4">
            <w:pPr>
              <w:pStyle w:val="TableBullet"/>
              <w:spacing w:before="30" w:after="30"/>
            </w:pPr>
            <w:r w:rsidRPr="00A25F2C">
              <w:t>Adaptive implementation of our service strategies:</w:t>
            </w:r>
          </w:p>
          <w:p w14:paraId="23FEAD92" w14:textId="77777777" w:rsidR="007F4791" w:rsidRPr="00A25F2C" w:rsidRDefault="007F4791" w:rsidP="005237E4">
            <w:pPr>
              <w:pStyle w:val="TableBullet2"/>
              <w:spacing w:before="30" w:after="30"/>
            </w:pPr>
            <w:r w:rsidRPr="00A25F2C">
              <w:t>Melbourne Water System Strategy</w:t>
            </w:r>
          </w:p>
          <w:p w14:paraId="7C557514" w14:textId="77777777" w:rsidR="007F4791" w:rsidRPr="00A25F2C" w:rsidRDefault="007F4791" w:rsidP="005237E4">
            <w:pPr>
              <w:pStyle w:val="TableBullet2"/>
              <w:spacing w:before="30" w:after="30"/>
            </w:pPr>
            <w:r w:rsidRPr="00A25F2C">
              <w:t>Drinking Water Quality Strategy</w:t>
            </w:r>
          </w:p>
          <w:p w14:paraId="7579858F" w14:textId="77777777" w:rsidR="007F4791" w:rsidRPr="00A25F2C" w:rsidRDefault="007F4791" w:rsidP="005237E4">
            <w:pPr>
              <w:pStyle w:val="TableBullet2"/>
              <w:spacing w:before="30" w:after="30"/>
            </w:pPr>
            <w:r w:rsidRPr="00A25F2C">
              <w:t>Flood Management Strategy</w:t>
            </w:r>
          </w:p>
          <w:p w14:paraId="5205C48C" w14:textId="77777777" w:rsidR="007F4791" w:rsidRPr="00A25F2C" w:rsidRDefault="007F4791" w:rsidP="005237E4">
            <w:pPr>
              <w:pStyle w:val="TableBullet2"/>
              <w:spacing w:before="30" w:after="30"/>
            </w:pPr>
            <w:r w:rsidRPr="00A25F2C">
              <w:t>Healthy Waterways Strategy</w:t>
            </w:r>
          </w:p>
          <w:p w14:paraId="4252039A" w14:textId="77777777" w:rsidR="007F4791" w:rsidRPr="00A25F2C" w:rsidRDefault="007F4791" w:rsidP="005237E4">
            <w:pPr>
              <w:pStyle w:val="TableBullet2"/>
              <w:spacing w:before="30" w:after="30"/>
            </w:pPr>
            <w:r w:rsidRPr="00A25F2C">
              <w:t>Melbourne Sewerage Strategy</w:t>
            </w:r>
          </w:p>
          <w:p w14:paraId="5F61157E" w14:textId="77777777" w:rsidR="007F4791" w:rsidRPr="00A25F2C" w:rsidRDefault="007F4791" w:rsidP="005237E4">
            <w:pPr>
              <w:pStyle w:val="TableBullet"/>
              <w:spacing w:before="30" w:after="30"/>
            </w:pPr>
            <w:r w:rsidRPr="00A25F2C">
              <w:t>Adaptive delivery of our 20 Year Capital Plan</w:t>
            </w:r>
          </w:p>
          <w:p w14:paraId="2A8267DA" w14:textId="77777777" w:rsidR="007F4791" w:rsidRPr="00A25F2C" w:rsidRDefault="007F4791" w:rsidP="005237E4">
            <w:pPr>
              <w:pStyle w:val="TableBullet"/>
              <w:spacing w:before="30" w:after="30"/>
            </w:pPr>
            <w:r w:rsidRPr="00A25F2C">
              <w:t>Explore Integrated Water Initiatives</w:t>
            </w:r>
          </w:p>
        </w:tc>
      </w:tr>
      <w:tr w:rsidR="007F4791" w:rsidRPr="00A25F2C" w14:paraId="242F20D7" w14:textId="77777777" w:rsidTr="00E97A23">
        <w:trPr>
          <w:cantSplit/>
        </w:trPr>
        <w:tc>
          <w:tcPr>
            <w:tcW w:w="1444" w:type="pct"/>
          </w:tcPr>
          <w:p w14:paraId="2331B115" w14:textId="77777777" w:rsidR="007F4791" w:rsidRPr="00A25F2C" w:rsidRDefault="007F4791" w:rsidP="005237E4">
            <w:pPr>
              <w:pStyle w:val="TableBodyText"/>
              <w:spacing w:before="30" w:after="30"/>
            </w:pPr>
            <w:r w:rsidRPr="00A25F2C">
              <w:t>New entrants or disruption of the water wholesale market</w:t>
            </w:r>
          </w:p>
        </w:tc>
        <w:tc>
          <w:tcPr>
            <w:tcW w:w="3556" w:type="pct"/>
          </w:tcPr>
          <w:p w14:paraId="44634739" w14:textId="77777777" w:rsidR="007F4791" w:rsidRPr="00A25F2C" w:rsidRDefault="007F4791" w:rsidP="005237E4">
            <w:pPr>
              <w:pStyle w:val="TableBullet"/>
              <w:spacing w:before="30" w:after="30"/>
            </w:pPr>
            <w:r w:rsidRPr="00A25F2C">
              <w:t>Adaptive implementation of the Melbourne Water System Strategy and Drinking Water Quality Strategy</w:t>
            </w:r>
          </w:p>
          <w:p w14:paraId="2FB03252" w14:textId="77777777" w:rsidR="007F4791" w:rsidRPr="00A25F2C" w:rsidRDefault="007F4791" w:rsidP="005237E4">
            <w:pPr>
              <w:pStyle w:val="TableBullet"/>
              <w:spacing w:before="30" w:after="30"/>
            </w:pPr>
            <w:r w:rsidRPr="00A25F2C">
              <w:t>Implement our Financial Sustainability Strategy</w:t>
            </w:r>
          </w:p>
          <w:p w14:paraId="15873AC0" w14:textId="77777777" w:rsidR="007F4791" w:rsidRPr="00A25F2C" w:rsidRDefault="007F4791" w:rsidP="005237E4">
            <w:pPr>
              <w:pStyle w:val="TableBullet"/>
              <w:spacing w:before="30" w:after="30"/>
            </w:pPr>
            <w:r w:rsidRPr="00A25F2C">
              <w:t>Deliver this plan in line with Essential Services Commission Price Determination</w:t>
            </w:r>
          </w:p>
          <w:p w14:paraId="7FE58BBF" w14:textId="77777777" w:rsidR="007F4791" w:rsidRPr="00A25F2C" w:rsidRDefault="007F4791" w:rsidP="005237E4">
            <w:pPr>
              <w:pStyle w:val="TableBullet"/>
              <w:spacing w:before="30" w:after="30"/>
            </w:pPr>
            <w:r w:rsidRPr="00A25F2C">
              <w:t>Contribute to policy processes such as the Central Region Sustainable Water Strategy</w:t>
            </w:r>
          </w:p>
        </w:tc>
      </w:tr>
      <w:tr w:rsidR="007F4791" w:rsidRPr="00A25F2C" w14:paraId="0D677735" w14:textId="77777777" w:rsidTr="00E97A23">
        <w:trPr>
          <w:cantSplit/>
        </w:trPr>
        <w:tc>
          <w:tcPr>
            <w:tcW w:w="1444" w:type="pct"/>
          </w:tcPr>
          <w:p w14:paraId="3A555506" w14:textId="77777777" w:rsidR="007F4791" w:rsidRPr="00A25F2C" w:rsidRDefault="007F4791" w:rsidP="005237E4">
            <w:pPr>
              <w:pStyle w:val="TableBodyText"/>
              <w:spacing w:before="30" w:after="30"/>
            </w:pPr>
            <w:r w:rsidRPr="00A25F2C">
              <w:t>Changes to government policy or regulations significantly impact Melbourne Water</w:t>
            </w:r>
          </w:p>
        </w:tc>
        <w:tc>
          <w:tcPr>
            <w:tcW w:w="3556" w:type="pct"/>
          </w:tcPr>
          <w:p w14:paraId="76AB9C85" w14:textId="77777777" w:rsidR="007F4791" w:rsidRPr="00A25F2C" w:rsidRDefault="007F4791" w:rsidP="005237E4">
            <w:pPr>
              <w:pStyle w:val="TableBullet"/>
              <w:spacing w:before="30" w:after="30"/>
            </w:pPr>
            <w:r w:rsidRPr="00A25F2C">
              <w:t>Adaptive implementation of our service strategies:</w:t>
            </w:r>
          </w:p>
          <w:p w14:paraId="30A09640" w14:textId="77777777" w:rsidR="007F4791" w:rsidRPr="00A25F2C" w:rsidRDefault="007F4791" w:rsidP="005237E4">
            <w:pPr>
              <w:pStyle w:val="TableBullet2"/>
              <w:spacing w:before="30" w:after="30"/>
            </w:pPr>
            <w:r w:rsidRPr="00A25F2C">
              <w:t>Melbourne Water System Strategy</w:t>
            </w:r>
          </w:p>
          <w:p w14:paraId="1BB0D983" w14:textId="77777777" w:rsidR="007F4791" w:rsidRPr="00A25F2C" w:rsidRDefault="007F4791" w:rsidP="005237E4">
            <w:pPr>
              <w:pStyle w:val="TableBullet2"/>
              <w:spacing w:before="30" w:after="30"/>
            </w:pPr>
            <w:r w:rsidRPr="00A25F2C">
              <w:t>Drinking Water Quality Strategy</w:t>
            </w:r>
          </w:p>
          <w:p w14:paraId="6A953C45" w14:textId="77777777" w:rsidR="007F4791" w:rsidRPr="00A25F2C" w:rsidRDefault="007F4791" w:rsidP="005237E4">
            <w:pPr>
              <w:pStyle w:val="TableBullet2"/>
              <w:spacing w:before="30" w:after="30"/>
            </w:pPr>
            <w:r w:rsidRPr="00A25F2C">
              <w:t>Flood Management Strategy</w:t>
            </w:r>
          </w:p>
          <w:p w14:paraId="7A36206B" w14:textId="77777777" w:rsidR="007F4791" w:rsidRPr="00A25F2C" w:rsidRDefault="007F4791" w:rsidP="005237E4">
            <w:pPr>
              <w:pStyle w:val="TableBullet2"/>
              <w:spacing w:before="30" w:after="30"/>
            </w:pPr>
            <w:r w:rsidRPr="00A25F2C">
              <w:t>Healthy Waterways Strategy</w:t>
            </w:r>
          </w:p>
          <w:p w14:paraId="0986A4A8" w14:textId="77777777" w:rsidR="007F4791" w:rsidRPr="00A25F2C" w:rsidRDefault="007F4791" w:rsidP="005237E4">
            <w:pPr>
              <w:pStyle w:val="TableBullet2"/>
              <w:spacing w:before="30" w:after="30"/>
            </w:pPr>
            <w:r w:rsidRPr="00A25F2C">
              <w:t>Melbourne Sewerage Strategy</w:t>
            </w:r>
          </w:p>
        </w:tc>
      </w:tr>
      <w:tr w:rsidR="007F4791" w:rsidRPr="00A25F2C" w14:paraId="2189041E" w14:textId="77777777" w:rsidTr="00E97A23">
        <w:trPr>
          <w:cantSplit/>
        </w:trPr>
        <w:tc>
          <w:tcPr>
            <w:tcW w:w="1444" w:type="pct"/>
          </w:tcPr>
          <w:p w14:paraId="5554EC3E" w14:textId="77777777" w:rsidR="007F4791" w:rsidRPr="00A25F2C" w:rsidRDefault="007F4791" w:rsidP="005237E4">
            <w:pPr>
              <w:pStyle w:val="TableBodyText"/>
              <w:spacing w:before="30" w:after="30"/>
            </w:pPr>
            <w:r w:rsidRPr="00A25F2C">
              <w:t>External economic factors impact our financial performance</w:t>
            </w:r>
          </w:p>
        </w:tc>
        <w:tc>
          <w:tcPr>
            <w:tcW w:w="3556" w:type="pct"/>
          </w:tcPr>
          <w:p w14:paraId="35F7E502" w14:textId="77777777" w:rsidR="007F4791" w:rsidRPr="00A25F2C" w:rsidRDefault="007F4791" w:rsidP="005237E4">
            <w:pPr>
              <w:pStyle w:val="TableBullet"/>
              <w:spacing w:before="30" w:after="30"/>
            </w:pPr>
            <w:r w:rsidRPr="00A25F2C">
              <w:t>Implementation of our Financial Sustainability Strategy</w:t>
            </w:r>
          </w:p>
          <w:p w14:paraId="02195971" w14:textId="77777777" w:rsidR="007F4791" w:rsidRPr="00A25F2C" w:rsidRDefault="007F4791" w:rsidP="005237E4">
            <w:pPr>
              <w:pStyle w:val="TableBullet"/>
              <w:spacing w:before="30" w:after="30"/>
            </w:pPr>
            <w:r w:rsidRPr="00A25F2C">
              <w:t>Deliver this plan in line with Essential Services Commission Price Determination</w:t>
            </w:r>
          </w:p>
        </w:tc>
      </w:tr>
      <w:tr w:rsidR="007F4791" w:rsidRPr="00A25F2C" w14:paraId="0507A39A" w14:textId="77777777" w:rsidTr="00E97A23">
        <w:trPr>
          <w:cantSplit/>
        </w:trPr>
        <w:tc>
          <w:tcPr>
            <w:tcW w:w="1444" w:type="pct"/>
          </w:tcPr>
          <w:p w14:paraId="206FB1FE" w14:textId="77777777" w:rsidR="007F4791" w:rsidRPr="00A25F2C" w:rsidRDefault="007F4791" w:rsidP="005237E4">
            <w:pPr>
              <w:pStyle w:val="TableBodyText"/>
              <w:spacing w:before="30" w:after="30"/>
            </w:pPr>
            <w:r w:rsidRPr="00A25F2C">
              <w:t>A significant unexpected change in prices to customers</w:t>
            </w:r>
          </w:p>
        </w:tc>
        <w:tc>
          <w:tcPr>
            <w:tcW w:w="3556" w:type="pct"/>
          </w:tcPr>
          <w:p w14:paraId="780C2580" w14:textId="4FF67315" w:rsidR="007F4791" w:rsidRPr="00A25F2C" w:rsidRDefault="007F4791" w:rsidP="005237E4">
            <w:pPr>
              <w:pStyle w:val="TableBullet"/>
              <w:spacing w:before="30" w:after="30"/>
            </w:pPr>
            <w:r w:rsidRPr="00A25F2C">
              <w:t>Deliver this plan in line with Essential Services Commission Price Determination</w:t>
            </w:r>
          </w:p>
        </w:tc>
      </w:tr>
      <w:tr w:rsidR="007F4791" w:rsidRPr="00A25F2C" w14:paraId="0F3AAE8E" w14:textId="77777777" w:rsidTr="00E97A23">
        <w:trPr>
          <w:cantSplit/>
        </w:trPr>
        <w:tc>
          <w:tcPr>
            <w:tcW w:w="1444" w:type="pct"/>
          </w:tcPr>
          <w:p w14:paraId="111C076A" w14:textId="77777777" w:rsidR="007F4791" w:rsidRPr="00A25F2C" w:rsidRDefault="007F4791" w:rsidP="005237E4">
            <w:pPr>
              <w:pStyle w:val="TableBodyText"/>
              <w:spacing w:before="30" w:after="30"/>
            </w:pPr>
            <w:r w:rsidRPr="00A25F2C">
              <w:t>Rapid advancement in technology changes ways of working</w:t>
            </w:r>
          </w:p>
        </w:tc>
        <w:tc>
          <w:tcPr>
            <w:tcW w:w="3556" w:type="pct"/>
          </w:tcPr>
          <w:p w14:paraId="7B553762" w14:textId="56698FB3" w:rsidR="007F4791" w:rsidRPr="00A25F2C" w:rsidRDefault="007F4791" w:rsidP="005237E4">
            <w:pPr>
              <w:pStyle w:val="TableBullet"/>
              <w:spacing w:before="30" w:after="30"/>
            </w:pPr>
            <w:r w:rsidRPr="00A25F2C">
              <w:t>Implement our Digital Strategy</w:t>
            </w:r>
          </w:p>
        </w:tc>
      </w:tr>
      <w:tr w:rsidR="007F4791" w:rsidRPr="00A25F2C" w14:paraId="09690389" w14:textId="77777777" w:rsidTr="00E97A23">
        <w:trPr>
          <w:cantSplit/>
        </w:trPr>
        <w:tc>
          <w:tcPr>
            <w:tcW w:w="1444" w:type="pct"/>
          </w:tcPr>
          <w:p w14:paraId="59472C1D" w14:textId="77777777" w:rsidR="007F4791" w:rsidRPr="00A25F2C" w:rsidRDefault="007F4791" w:rsidP="005237E4">
            <w:pPr>
              <w:pStyle w:val="TableBodyText"/>
              <w:spacing w:before="30" w:after="30"/>
            </w:pPr>
            <w:r w:rsidRPr="00A25F2C">
              <w:t>Use of resources and waste generated by Melbourne Water can reduce our environmental footprint</w:t>
            </w:r>
          </w:p>
        </w:tc>
        <w:tc>
          <w:tcPr>
            <w:tcW w:w="3556" w:type="pct"/>
          </w:tcPr>
          <w:p w14:paraId="1A744D06" w14:textId="77777777" w:rsidR="007F4791" w:rsidRPr="00A25F2C" w:rsidRDefault="007F4791" w:rsidP="005237E4">
            <w:pPr>
              <w:pStyle w:val="TableBullet"/>
              <w:spacing w:before="30" w:after="30"/>
            </w:pPr>
            <w:r w:rsidRPr="00A25F2C">
              <w:t>Implement our Environmental Stewardship Strategy</w:t>
            </w:r>
          </w:p>
          <w:p w14:paraId="7ABB95A6" w14:textId="77777777" w:rsidR="007F4791" w:rsidRPr="00A25F2C" w:rsidRDefault="007F4791" w:rsidP="005237E4">
            <w:pPr>
              <w:pStyle w:val="TableBullet"/>
              <w:spacing w:before="30" w:after="30"/>
            </w:pPr>
            <w:r w:rsidRPr="00A25F2C">
              <w:t>Implement our Carbon Reduction Program</w:t>
            </w:r>
          </w:p>
        </w:tc>
      </w:tr>
      <w:tr w:rsidR="00E97A23" w:rsidRPr="00A25F2C" w14:paraId="524B9CDA" w14:textId="77777777" w:rsidTr="00E97A23">
        <w:trPr>
          <w:cantSplit/>
        </w:trPr>
        <w:tc>
          <w:tcPr>
            <w:tcW w:w="1444" w:type="pct"/>
          </w:tcPr>
          <w:p w14:paraId="731D36FF" w14:textId="7A2C429B" w:rsidR="00E97A23" w:rsidRPr="00A25F2C" w:rsidRDefault="00E97A23" w:rsidP="005237E4">
            <w:pPr>
              <w:pStyle w:val="TableBodyText"/>
              <w:spacing w:before="30" w:after="30"/>
            </w:pPr>
            <w:r w:rsidRPr="00A25F2C">
              <w:t>Greenhouse gas and/or energy usage vary significantly from forecasts</w:t>
            </w:r>
          </w:p>
        </w:tc>
        <w:tc>
          <w:tcPr>
            <w:tcW w:w="3556" w:type="pct"/>
          </w:tcPr>
          <w:p w14:paraId="42D3CC26" w14:textId="78B04CB4" w:rsidR="00E97A23" w:rsidRPr="00A25F2C" w:rsidRDefault="00E97A23" w:rsidP="005237E4">
            <w:pPr>
              <w:pStyle w:val="TableBullet"/>
              <w:spacing w:before="30" w:after="30"/>
            </w:pPr>
            <w:r w:rsidRPr="00A25F2C">
              <w:t>Implement our Carbon Reduction Program</w:t>
            </w:r>
          </w:p>
        </w:tc>
      </w:tr>
      <w:tr w:rsidR="00E97A23" w:rsidRPr="00A25F2C" w14:paraId="64A154D7" w14:textId="77777777" w:rsidTr="00E97A23">
        <w:trPr>
          <w:cantSplit/>
        </w:trPr>
        <w:tc>
          <w:tcPr>
            <w:tcW w:w="1444" w:type="pct"/>
          </w:tcPr>
          <w:p w14:paraId="00297FE1" w14:textId="1C40A53B" w:rsidR="00E97A23" w:rsidRPr="00A25F2C" w:rsidRDefault="00E97A23" w:rsidP="005237E4">
            <w:pPr>
              <w:pStyle w:val="TableBodyText"/>
              <w:spacing w:before="30" w:after="30"/>
            </w:pPr>
            <w:r w:rsidRPr="00A25F2C">
              <w:t>Changes in customer and community expectations</w:t>
            </w:r>
          </w:p>
        </w:tc>
        <w:tc>
          <w:tcPr>
            <w:tcW w:w="3556" w:type="pct"/>
          </w:tcPr>
          <w:p w14:paraId="531B97F4" w14:textId="0557C348" w:rsidR="00E97A23" w:rsidRPr="00A25F2C" w:rsidRDefault="00E97A23" w:rsidP="005237E4">
            <w:pPr>
              <w:pStyle w:val="TableBullet"/>
              <w:spacing w:before="30" w:after="30"/>
            </w:pPr>
            <w:r w:rsidRPr="00A25F2C">
              <w:t>Implement our Customer and Community Strategy</w:t>
            </w:r>
          </w:p>
        </w:tc>
      </w:tr>
      <w:tr w:rsidR="00E97A23" w:rsidRPr="00A25F2C" w14:paraId="3E85BC97" w14:textId="77777777" w:rsidTr="00E97A23">
        <w:trPr>
          <w:cantSplit/>
        </w:trPr>
        <w:tc>
          <w:tcPr>
            <w:tcW w:w="1444" w:type="pct"/>
          </w:tcPr>
          <w:p w14:paraId="5CD1966A" w14:textId="2BA0CC17" w:rsidR="00E97A23" w:rsidRPr="00A25F2C" w:rsidRDefault="00E97A23" w:rsidP="005237E4">
            <w:pPr>
              <w:pStyle w:val="TableBodyText"/>
              <w:spacing w:before="30" w:after="30"/>
            </w:pPr>
            <w:r w:rsidRPr="00A25F2C">
              <w:lastRenderedPageBreak/>
              <w:t>Customer or community requests or complaints are not responded to in a timely or effective manner</w:t>
            </w:r>
          </w:p>
        </w:tc>
        <w:tc>
          <w:tcPr>
            <w:tcW w:w="3556" w:type="pct"/>
          </w:tcPr>
          <w:p w14:paraId="6F8438D8" w14:textId="46CF18D4" w:rsidR="00E97A23" w:rsidRPr="00A25F2C" w:rsidRDefault="00E97A23" w:rsidP="005237E4">
            <w:pPr>
              <w:pStyle w:val="TableBullet"/>
              <w:spacing w:before="30" w:after="30"/>
            </w:pPr>
            <w:r w:rsidRPr="00A25F2C">
              <w:t>Implement our Customer and Community Strategy</w:t>
            </w:r>
          </w:p>
        </w:tc>
      </w:tr>
      <w:tr w:rsidR="00E97A23" w:rsidRPr="00A25F2C" w14:paraId="02DA0A8D" w14:textId="77777777" w:rsidTr="00E97A23">
        <w:trPr>
          <w:cantSplit/>
        </w:trPr>
        <w:tc>
          <w:tcPr>
            <w:tcW w:w="1444" w:type="pct"/>
          </w:tcPr>
          <w:p w14:paraId="6EDD710E" w14:textId="01D36BB0" w:rsidR="00E97A23" w:rsidRPr="00A25F2C" w:rsidRDefault="00E97A23" w:rsidP="005237E4">
            <w:pPr>
              <w:pStyle w:val="TableBodyText"/>
              <w:spacing w:before="30" w:after="30"/>
            </w:pPr>
            <w:r w:rsidRPr="00A25F2C">
              <w:t>Melbourne Water’s performance is inconsistent with Government or Regulator expectations</w:t>
            </w:r>
          </w:p>
        </w:tc>
        <w:tc>
          <w:tcPr>
            <w:tcW w:w="3556" w:type="pct"/>
          </w:tcPr>
          <w:p w14:paraId="26D6F5B7" w14:textId="77777777" w:rsidR="00E97A23" w:rsidRPr="00A25F2C" w:rsidRDefault="00E97A23" w:rsidP="005237E4">
            <w:pPr>
              <w:pStyle w:val="TableBullet"/>
              <w:spacing w:before="30" w:after="30"/>
            </w:pPr>
            <w:r w:rsidRPr="00A25F2C">
              <w:t>Adaptive implementation of the Melbourne Water System Strategy and Drinking Water Quality Strategy</w:t>
            </w:r>
          </w:p>
          <w:p w14:paraId="1F9D2F7D" w14:textId="77777777" w:rsidR="00E97A23" w:rsidRPr="00A25F2C" w:rsidRDefault="00E97A23" w:rsidP="005237E4">
            <w:pPr>
              <w:pStyle w:val="TableBullet"/>
              <w:spacing w:before="30" w:after="30"/>
            </w:pPr>
            <w:r w:rsidRPr="00A25F2C">
              <w:t>Implement our Financial Sustainability Strategy</w:t>
            </w:r>
          </w:p>
          <w:p w14:paraId="6C33A194" w14:textId="77777777" w:rsidR="00E97A23" w:rsidRPr="00A25F2C" w:rsidRDefault="00E97A23" w:rsidP="005237E4">
            <w:pPr>
              <w:pStyle w:val="TableBullet"/>
              <w:spacing w:before="30" w:after="30"/>
            </w:pPr>
            <w:r w:rsidRPr="00A25F2C">
              <w:t>Deliver this plan in line with Essential Services Commission Price Determination</w:t>
            </w:r>
          </w:p>
          <w:p w14:paraId="40471AC0" w14:textId="13CA9C6F" w:rsidR="00E97A23" w:rsidRPr="00A25F2C" w:rsidRDefault="00E97A23" w:rsidP="005237E4">
            <w:pPr>
              <w:pStyle w:val="TableBullet"/>
              <w:spacing w:before="30" w:after="30"/>
            </w:pPr>
            <w:r w:rsidRPr="00A25F2C">
              <w:t>Contribute to policy processes such as the Central Region Sustainable Water Strategy</w:t>
            </w:r>
          </w:p>
        </w:tc>
      </w:tr>
      <w:tr w:rsidR="00E97A23" w:rsidRPr="00A25F2C" w14:paraId="5B3C801E" w14:textId="77777777" w:rsidTr="00E97A23">
        <w:trPr>
          <w:cantSplit/>
        </w:trPr>
        <w:tc>
          <w:tcPr>
            <w:tcW w:w="1444" w:type="pct"/>
          </w:tcPr>
          <w:p w14:paraId="078DF500" w14:textId="3B0BDF7B" w:rsidR="00E97A23" w:rsidRPr="00A25F2C" w:rsidRDefault="00E97A23" w:rsidP="005237E4">
            <w:pPr>
              <w:pStyle w:val="TableBodyText"/>
              <w:spacing w:before="30" w:after="30"/>
            </w:pPr>
            <w:r w:rsidRPr="00A25F2C">
              <w:t>Changes to government policy or regulations significantly impact Melbourne Water</w:t>
            </w:r>
          </w:p>
        </w:tc>
        <w:tc>
          <w:tcPr>
            <w:tcW w:w="3556" w:type="pct"/>
          </w:tcPr>
          <w:p w14:paraId="518950B1" w14:textId="77777777" w:rsidR="00E97A23" w:rsidRPr="00A25F2C" w:rsidRDefault="00E97A23" w:rsidP="005237E4">
            <w:pPr>
              <w:pStyle w:val="TableBullet"/>
              <w:spacing w:before="30" w:after="30"/>
            </w:pPr>
            <w:r w:rsidRPr="00A25F2C">
              <w:t>Deliver this plan in line with Essential Services Commission Price Determination</w:t>
            </w:r>
          </w:p>
          <w:p w14:paraId="1BE97C6E" w14:textId="77777777" w:rsidR="00E97A23" w:rsidRPr="00A25F2C" w:rsidRDefault="00E97A23" w:rsidP="005237E4">
            <w:pPr>
              <w:pStyle w:val="TableBullet"/>
              <w:spacing w:before="30" w:after="30"/>
            </w:pPr>
            <w:r w:rsidRPr="00A25F2C">
              <w:t>Implement our Financial Sustainability Strategy</w:t>
            </w:r>
          </w:p>
          <w:p w14:paraId="6BFCC5C8" w14:textId="6757518A" w:rsidR="00E97A23" w:rsidRPr="00A25F2C" w:rsidRDefault="00E97A23" w:rsidP="005237E4">
            <w:pPr>
              <w:pStyle w:val="TableBullet"/>
              <w:spacing w:before="30" w:after="30"/>
            </w:pPr>
            <w:r w:rsidRPr="00A25F2C">
              <w:t>This plan responds to the Minister’s priority areas contained within the Letter of Expectations</w:t>
            </w:r>
          </w:p>
        </w:tc>
      </w:tr>
      <w:tr w:rsidR="00E97A23" w:rsidRPr="00A25F2C" w14:paraId="5CBE34F6" w14:textId="77777777" w:rsidTr="00E97A23">
        <w:trPr>
          <w:cantSplit/>
        </w:trPr>
        <w:tc>
          <w:tcPr>
            <w:tcW w:w="1444" w:type="pct"/>
          </w:tcPr>
          <w:p w14:paraId="0B91509B" w14:textId="0802ADA4" w:rsidR="00E97A23" w:rsidRPr="00A25F2C" w:rsidRDefault="00E97A23" w:rsidP="005237E4">
            <w:pPr>
              <w:pStyle w:val="TableBodyText"/>
              <w:spacing w:before="30" w:after="30"/>
            </w:pPr>
            <w:r w:rsidRPr="00A25F2C">
              <w:t>Changing workforce requirements and demographics</w:t>
            </w:r>
          </w:p>
        </w:tc>
        <w:tc>
          <w:tcPr>
            <w:tcW w:w="3556" w:type="pct"/>
          </w:tcPr>
          <w:p w14:paraId="69CC321C" w14:textId="77777777" w:rsidR="00E97A23" w:rsidRPr="00A25F2C" w:rsidRDefault="00E97A23" w:rsidP="005237E4">
            <w:pPr>
              <w:pStyle w:val="TableBullet"/>
              <w:spacing w:before="30" w:after="30"/>
            </w:pPr>
            <w:r w:rsidRPr="00A25F2C">
              <w:t>Implement our People and Capability Strategy</w:t>
            </w:r>
          </w:p>
          <w:p w14:paraId="59AB4B97" w14:textId="77777777" w:rsidR="00E97A23" w:rsidRPr="00A25F2C" w:rsidRDefault="00E97A23" w:rsidP="005237E4">
            <w:pPr>
              <w:pStyle w:val="TableBullet"/>
              <w:spacing w:before="30" w:after="30"/>
            </w:pPr>
            <w:r w:rsidRPr="00A25F2C">
              <w:t>Implement our Diversity and Inclusion Strategy and associated plans</w:t>
            </w:r>
          </w:p>
          <w:p w14:paraId="60CE1310" w14:textId="1B7FBD85" w:rsidR="00E97A23" w:rsidRPr="00A25F2C" w:rsidRDefault="00E97A23" w:rsidP="005237E4">
            <w:pPr>
              <w:pStyle w:val="TableBullet"/>
              <w:spacing w:before="30" w:after="30"/>
            </w:pPr>
            <w:r w:rsidRPr="00A25F2C">
              <w:t>New Ways of Working research and interventions for execution</w:t>
            </w:r>
          </w:p>
        </w:tc>
      </w:tr>
    </w:tbl>
    <w:p w14:paraId="7474EB88" w14:textId="202AE189" w:rsidR="00143D6B" w:rsidRDefault="007F4791" w:rsidP="005C41F0">
      <w:pPr>
        <w:pStyle w:val="Heading2"/>
        <w:pageBreakBefore/>
      </w:pPr>
      <w:bookmarkStart w:id="70" w:name="_Toc147756917"/>
      <w:r w:rsidRPr="00A25F2C">
        <w:lastRenderedPageBreak/>
        <w:t>Appendix D – Reportable Capital Projects</w:t>
      </w:r>
      <w:bookmarkEnd w:id="70"/>
    </w:p>
    <w:p w14:paraId="5D130D7A" w14:textId="09FD689B" w:rsidR="007F4791" w:rsidRPr="00A25F2C" w:rsidRDefault="00E97A23" w:rsidP="00335623">
      <w:pPr>
        <w:pStyle w:val="Caption"/>
      </w:pPr>
      <w:r w:rsidRPr="00E97A23">
        <w:t>Table D1 – Reportable capital projects ($)</w:t>
      </w:r>
    </w:p>
    <w:tbl>
      <w:tblPr>
        <w:tblStyle w:val="TableProfessional"/>
        <w:tblW w:w="5000" w:type="pct"/>
        <w:tblLook w:val="0620" w:firstRow="1" w:lastRow="0" w:firstColumn="0" w:lastColumn="0" w:noHBand="1" w:noVBand="1"/>
      </w:tblPr>
      <w:tblGrid>
        <w:gridCol w:w="1288"/>
        <w:gridCol w:w="1243"/>
        <w:gridCol w:w="1432"/>
        <w:gridCol w:w="1426"/>
        <w:gridCol w:w="1425"/>
        <w:gridCol w:w="1391"/>
        <w:gridCol w:w="1426"/>
      </w:tblGrid>
      <w:tr w:rsidR="0086694E" w:rsidRPr="00A25F2C" w14:paraId="76CB204D" w14:textId="77777777" w:rsidTr="0086694E">
        <w:trPr>
          <w:cnfStyle w:val="100000000000" w:firstRow="1" w:lastRow="0" w:firstColumn="0" w:lastColumn="0" w:oddVBand="0" w:evenVBand="0" w:oddHBand="0" w:evenHBand="0" w:firstRowFirstColumn="0" w:firstRowLastColumn="0" w:lastRowFirstColumn="0" w:lastRowLastColumn="0"/>
          <w:cantSplit/>
        </w:trPr>
        <w:tc>
          <w:tcPr>
            <w:tcW w:w="697" w:type="pct"/>
          </w:tcPr>
          <w:p w14:paraId="3EF8F7EF" w14:textId="44985892" w:rsidR="007F4791" w:rsidRPr="00A25F2C" w:rsidRDefault="00777322" w:rsidP="007F4791">
            <w:pPr>
              <w:spacing w:before="0" w:after="0"/>
            </w:pPr>
            <w:r>
              <w:t xml:space="preserve">Capital Expenditure </w:t>
            </w:r>
            <w:r w:rsidR="00335623">
              <w:t>Time Period</w:t>
            </w:r>
          </w:p>
        </w:tc>
        <w:tc>
          <w:tcPr>
            <w:tcW w:w="674" w:type="pct"/>
          </w:tcPr>
          <w:p w14:paraId="704C53E7" w14:textId="77777777" w:rsidR="007F4791" w:rsidRPr="00A25F2C" w:rsidRDefault="007F4791" w:rsidP="00E97A23">
            <w:pPr>
              <w:pStyle w:val="TableBodyText"/>
              <w:jc w:val="right"/>
            </w:pPr>
            <w:r w:rsidRPr="00A25F2C">
              <w:t>Hobsons Bay Main Yarra Crossing Duplication</w:t>
            </w:r>
          </w:p>
        </w:tc>
        <w:tc>
          <w:tcPr>
            <w:tcW w:w="772" w:type="pct"/>
          </w:tcPr>
          <w:p w14:paraId="7D84D956" w14:textId="77777777" w:rsidR="007F4791" w:rsidRPr="00A25F2C" w:rsidRDefault="007F4791" w:rsidP="00E97A23">
            <w:pPr>
              <w:pStyle w:val="TableBodyText"/>
              <w:jc w:val="right"/>
            </w:pPr>
            <w:r w:rsidRPr="00A25F2C">
              <w:t>Western Treatment Plant 55E ASP Upgrade</w:t>
            </w:r>
          </w:p>
        </w:tc>
        <w:tc>
          <w:tcPr>
            <w:tcW w:w="678" w:type="pct"/>
          </w:tcPr>
          <w:p w14:paraId="5139BBED" w14:textId="77777777" w:rsidR="007F4791" w:rsidRPr="00A25F2C" w:rsidRDefault="007F4791" w:rsidP="00E97A23">
            <w:pPr>
              <w:pStyle w:val="TableBodyText"/>
              <w:jc w:val="right"/>
            </w:pPr>
            <w:r w:rsidRPr="00A25F2C">
              <w:t>WTP Primary Treatment Augmentation</w:t>
            </w:r>
          </w:p>
        </w:tc>
        <w:tc>
          <w:tcPr>
            <w:tcW w:w="768" w:type="pct"/>
          </w:tcPr>
          <w:p w14:paraId="13A2E87C" w14:textId="77777777" w:rsidR="007F4791" w:rsidRPr="00A25F2C" w:rsidRDefault="007F4791" w:rsidP="00E97A23">
            <w:pPr>
              <w:pStyle w:val="TableBodyText"/>
              <w:jc w:val="right"/>
            </w:pPr>
            <w:r w:rsidRPr="00A25F2C">
              <w:t>Yan Yean to Bald Hill Pipeline</w:t>
            </w:r>
          </w:p>
        </w:tc>
        <w:tc>
          <w:tcPr>
            <w:tcW w:w="750" w:type="pct"/>
          </w:tcPr>
          <w:p w14:paraId="6BBD905F" w14:textId="77777777" w:rsidR="007F4791" w:rsidRPr="00A25F2C" w:rsidRDefault="007F4791" w:rsidP="00E97A23">
            <w:pPr>
              <w:pStyle w:val="TableBodyText"/>
              <w:jc w:val="right"/>
            </w:pPr>
            <w:r w:rsidRPr="00A25F2C">
              <w:t>Maroondah Res Outlet and Aqueduct Stage 3A Upgrade</w:t>
            </w:r>
          </w:p>
        </w:tc>
        <w:tc>
          <w:tcPr>
            <w:tcW w:w="660" w:type="pct"/>
          </w:tcPr>
          <w:p w14:paraId="6258769C" w14:textId="77777777" w:rsidR="007F4791" w:rsidRPr="00A25F2C" w:rsidRDefault="007F4791" w:rsidP="00E97A23">
            <w:pPr>
              <w:pStyle w:val="TableBodyText"/>
              <w:jc w:val="right"/>
            </w:pPr>
            <w:r w:rsidRPr="00A25F2C">
              <w:t>WTP Waste Activated Sludge Treatment Augmentation</w:t>
            </w:r>
          </w:p>
        </w:tc>
      </w:tr>
      <w:tr w:rsidR="007F4791" w:rsidRPr="00A25F2C" w14:paraId="416FC4E7" w14:textId="77777777" w:rsidTr="0086694E">
        <w:trPr>
          <w:cantSplit/>
        </w:trPr>
        <w:tc>
          <w:tcPr>
            <w:tcW w:w="697" w:type="pct"/>
          </w:tcPr>
          <w:p w14:paraId="69A31DCF" w14:textId="77777777" w:rsidR="007F4791" w:rsidRPr="00A25F2C" w:rsidRDefault="007F4791" w:rsidP="004E1FA1">
            <w:pPr>
              <w:pStyle w:val="TableBodyText"/>
            </w:pPr>
            <w:r w:rsidRPr="00A25F2C">
              <w:t>Total estimated investment (P95)</w:t>
            </w:r>
          </w:p>
        </w:tc>
        <w:tc>
          <w:tcPr>
            <w:tcW w:w="674" w:type="pct"/>
          </w:tcPr>
          <w:p w14:paraId="024A62FE" w14:textId="77777777" w:rsidR="007F4791" w:rsidRPr="00A25F2C" w:rsidRDefault="007F4791" w:rsidP="00E97A23">
            <w:pPr>
              <w:pStyle w:val="TableBodyText"/>
              <w:jc w:val="right"/>
            </w:pPr>
            <w:r w:rsidRPr="00A25F2C">
              <w:t>206,299,000</w:t>
            </w:r>
          </w:p>
        </w:tc>
        <w:tc>
          <w:tcPr>
            <w:tcW w:w="772" w:type="pct"/>
          </w:tcPr>
          <w:p w14:paraId="598FA8F5" w14:textId="77777777" w:rsidR="007F4791" w:rsidRPr="00A25F2C" w:rsidRDefault="007F4791" w:rsidP="00E97A23">
            <w:pPr>
              <w:pStyle w:val="TableBodyText"/>
              <w:jc w:val="right"/>
            </w:pPr>
            <w:r w:rsidRPr="00A25F2C">
              <w:t>333,070,000</w:t>
            </w:r>
          </w:p>
        </w:tc>
        <w:tc>
          <w:tcPr>
            <w:tcW w:w="678" w:type="pct"/>
          </w:tcPr>
          <w:p w14:paraId="1449BB23" w14:textId="77777777" w:rsidR="007F4791" w:rsidRPr="00A25F2C" w:rsidRDefault="007F4791" w:rsidP="00E97A23">
            <w:pPr>
              <w:pStyle w:val="TableBodyText"/>
              <w:jc w:val="right"/>
            </w:pPr>
            <w:r w:rsidRPr="00A25F2C">
              <w:t>384,100,000</w:t>
            </w:r>
          </w:p>
        </w:tc>
        <w:tc>
          <w:tcPr>
            <w:tcW w:w="768" w:type="pct"/>
          </w:tcPr>
          <w:p w14:paraId="7FF8BE1F" w14:textId="77777777" w:rsidR="007F4791" w:rsidRPr="00A25F2C" w:rsidRDefault="007F4791" w:rsidP="00E97A23">
            <w:pPr>
              <w:pStyle w:val="TableBodyText"/>
              <w:jc w:val="right"/>
            </w:pPr>
            <w:r w:rsidRPr="00A25F2C">
              <w:t>108,700,000</w:t>
            </w:r>
          </w:p>
        </w:tc>
        <w:tc>
          <w:tcPr>
            <w:tcW w:w="750" w:type="pct"/>
          </w:tcPr>
          <w:p w14:paraId="6C9668A2" w14:textId="77777777" w:rsidR="007F4791" w:rsidRPr="00A25F2C" w:rsidRDefault="007F4791" w:rsidP="00E97A23">
            <w:pPr>
              <w:pStyle w:val="TableBodyText"/>
              <w:jc w:val="right"/>
            </w:pPr>
            <w:r w:rsidRPr="00A25F2C">
              <w:t>167,000,000</w:t>
            </w:r>
          </w:p>
        </w:tc>
        <w:tc>
          <w:tcPr>
            <w:tcW w:w="660" w:type="pct"/>
          </w:tcPr>
          <w:p w14:paraId="64C7009F" w14:textId="77777777" w:rsidR="007F4791" w:rsidRPr="00A25F2C" w:rsidRDefault="007F4791" w:rsidP="00E97A23">
            <w:pPr>
              <w:pStyle w:val="TableBodyText"/>
              <w:jc w:val="right"/>
            </w:pPr>
            <w:r w:rsidRPr="00A25F2C">
              <w:t>102,504,300</w:t>
            </w:r>
          </w:p>
        </w:tc>
      </w:tr>
      <w:tr w:rsidR="007F4791" w:rsidRPr="00A25F2C" w14:paraId="3E41B137" w14:textId="77777777" w:rsidTr="0086694E">
        <w:trPr>
          <w:cantSplit/>
        </w:trPr>
        <w:tc>
          <w:tcPr>
            <w:tcW w:w="697" w:type="pct"/>
          </w:tcPr>
          <w:p w14:paraId="77E1B665" w14:textId="77777777" w:rsidR="007F4791" w:rsidRPr="00A25F2C" w:rsidRDefault="007F4791" w:rsidP="004E1FA1">
            <w:pPr>
              <w:pStyle w:val="TableBodyText"/>
            </w:pPr>
            <w:r w:rsidRPr="00A25F2C">
              <w:t>Capital expenditure in prior years</w:t>
            </w:r>
          </w:p>
        </w:tc>
        <w:tc>
          <w:tcPr>
            <w:tcW w:w="674" w:type="pct"/>
          </w:tcPr>
          <w:p w14:paraId="2C9F5EAB" w14:textId="77777777" w:rsidR="007F4791" w:rsidRPr="00A25F2C" w:rsidRDefault="007F4791" w:rsidP="00E97A23">
            <w:pPr>
              <w:pStyle w:val="TableBodyText"/>
              <w:jc w:val="right"/>
            </w:pPr>
            <w:r w:rsidRPr="00A25F2C">
              <w:t>97,634,653</w:t>
            </w:r>
          </w:p>
        </w:tc>
        <w:tc>
          <w:tcPr>
            <w:tcW w:w="772" w:type="pct"/>
          </w:tcPr>
          <w:p w14:paraId="02240C7B" w14:textId="77777777" w:rsidR="007F4791" w:rsidRPr="00A25F2C" w:rsidRDefault="007F4791" w:rsidP="00E97A23">
            <w:pPr>
              <w:pStyle w:val="TableBodyText"/>
              <w:jc w:val="right"/>
            </w:pPr>
            <w:r w:rsidRPr="00A25F2C">
              <w:t>57,174,545</w:t>
            </w:r>
          </w:p>
        </w:tc>
        <w:tc>
          <w:tcPr>
            <w:tcW w:w="678" w:type="pct"/>
          </w:tcPr>
          <w:p w14:paraId="55B9E3FF" w14:textId="77777777" w:rsidR="007F4791" w:rsidRPr="00A25F2C" w:rsidRDefault="007F4791" w:rsidP="00E97A23">
            <w:pPr>
              <w:pStyle w:val="TableBodyText"/>
              <w:jc w:val="right"/>
            </w:pPr>
            <w:r w:rsidRPr="00A25F2C">
              <w:t>7,508,551</w:t>
            </w:r>
          </w:p>
        </w:tc>
        <w:tc>
          <w:tcPr>
            <w:tcW w:w="768" w:type="pct"/>
          </w:tcPr>
          <w:p w14:paraId="7A9BB938" w14:textId="77777777" w:rsidR="007F4791" w:rsidRPr="00A25F2C" w:rsidRDefault="007F4791" w:rsidP="00E97A23">
            <w:pPr>
              <w:pStyle w:val="TableBodyText"/>
              <w:jc w:val="right"/>
            </w:pPr>
            <w:r w:rsidRPr="00A25F2C">
              <w:t>38,150,278</w:t>
            </w:r>
          </w:p>
        </w:tc>
        <w:tc>
          <w:tcPr>
            <w:tcW w:w="750" w:type="pct"/>
          </w:tcPr>
          <w:p w14:paraId="62D1B36F" w14:textId="77777777" w:rsidR="007F4791" w:rsidRPr="00A25F2C" w:rsidRDefault="007F4791" w:rsidP="00E97A23">
            <w:pPr>
              <w:pStyle w:val="TableBodyText"/>
              <w:jc w:val="right"/>
            </w:pPr>
            <w:r w:rsidRPr="00A25F2C">
              <w:t>783,547</w:t>
            </w:r>
          </w:p>
        </w:tc>
        <w:tc>
          <w:tcPr>
            <w:tcW w:w="660" w:type="pct"/>
          </w:tcPr>
          <w:p w14:paraId="4B98C170" w14:textId="77777777" w:rsidR="007F4791" w:rsidRPr="00A25F2C" w:rsidRDefault="007F4791" w:rsidP="00E97A23">
            <w:pPr>
              <w:pStyle w:val="TableBodyText"/>
              <w:jc w:val="right"/>
            </w:pPr>
            <w:r w:rsidRPr="00A25F2C">
              <w:t>215,902</w:t>
            </w:r>
          </w:p>
        </w:tc>
      </w:tr>
      <w:tr w:rsidR="007F4791" w:rsidRPr="00A25F2C" w14:paraId="521A041F" w14:textId="77777777" w:rsidTr="0086694E">
        <w:trPr>
          <w:cantSplit/>
        </w:trPr>
        <w:tc>
          <w:tcPr>
            <w:tcW w:w="697" w:type="pct"/>
          </w:tcPr>
          <w:p w14:paraId="7938686A" w14:textId="77777777" w:rsidR="007F4791" w:rsidRPr="00A25F2C" w:rsidRDefault="007F4791" w:rsidP="004E1FA1">
            <w:pPr>
              <w:pStyle w:val="TableBodyText"/>
            </w:pPr>
            <w:r w:rsidRPr="00A25F2C">
              <w:t>Capital expenditure in 2023-24</w:t>
            </w:r>
          </w:p>
        </w:tc>
        <w:tc>
          <w:tcPr>
            <w:tcW w:w="674" w:type="pct"/>
          </w:tcPr>
          <w:p w14:paraId="256C9AA9" w14:textId="77777777" w:rsidR="007F4791" w:rsidRPr="00A25F2C" w:rsidRDefault="007F4791" w:rsidP="00E97A23">
            <w:pPr>
              <w:pStyle w:val="TableBodyText"/>
              <w:jc w:val="right"/>
            </w:pPr>
            <w:r w:rsidRPr="00A25F2C">
              <w:t>42,280,635</w:t>
            </w:r>
          </w:p>
        </w:tc>
        <w:tc>
          <w:tcPr>
            <w:tcW w:w="772" w:type="pct"/>
          </w:tcPr>
          <w:p w14:paraId="15E451A4" w14:textId="77777777" w:rsidR="007F4791" w:rsidRPr="00A25F2C" w:rsidRDefault="007F4791" w:rsidP="00E97A23">
            <w:pPr>
              <w:pStyle w:val="TableBodyText"/>
              <w:jc w:val="right"/>
            </w:pPr>
            <w:r w:rsidRPr="00A25F2C">
              <w:t>126,535,055</w:t>
            </w:r>
          </w:p>
        </w:tc>
        <w:tc>
          <w:tcPr>
            <w:tcW w:w="678" w:type="pct"/>
          </w:tcPr>
          <w:p w14:paraId="2E7F36E8" w14:textId="77777777" w:rsidR="007F4791" w:rsidRPr="00A25F2C" w:rsidRDefault="007F4791" w:rsidP="00E97A23">
            <w:pPr>
              <w:pStyle w:val="TableBodyText"/>
              <w:jc w:val="right"/>
            </w:pPr>
            <w:r w:rsidRPr="00A25F2C">
              <w:t>79,987,000</w:t>
            </w:r>
          </w:p>
        </w:tc>
        <w:tc>
          <w:tcPr>
            <w:tcW w:w="768" w:type="pct"/>
          </w:tcPr>
          <w:p w14:paraId="422CD2F8" w14:textId="77777777" w:rsidR="007F4791" w:rsidRPr="00A25F2C" w:rsidRDefault="007F4791" w:rsidP="00E97A23">
            <w:pPr>
              <w:pStyle w:val="TableBodyText"/>
              <w:jc w:val="right"/>
            </w:pPr>
            <w:r w:rsidRPr="00A25F2C">
              <w:t>49,262,000</w:t>
            </w:r>
          </w:p>
        </w:tc>
        <w:tc>
          <w:tcPr>
            <w:tcW w:w="750" w:type="pct"/>
          </w:tcPr>
          <w:p w14:paraId="24CEC711" w14:textId="77777777" w:rsidR="007F4791" w:rsidRPr="00A25F2C" w:rsidRDefault="007F4791" w:rsidP="00E97A23">
            <w:pPr>
              <w:pStyle w:val="TableBodyText"/>
              <w:jc w:val="right"/>
            </w:pPr>
            <w:r w:rsidRPr="00A25F2C">
              <w:t>2,545,000</w:t>
            </w:r>
          </w:p>
        </w:tc>
        <w:tc>
          <w:tcPr>
            <w:tcW w:w="660" w:type="pct"/>
          </w:tcPr>
          <w:p w14:paraId="3B65F94E" w14:textId="77777777" w:rsidR="007F4791" w:rsidRPr="00A25F2C" w:rsidRDefault="007F4791" w:rsidP="00E97A23">
            <w:pPr>
              <w:pStyle w:val="TableBodyText"/>
              <w:jc w:val="right"/>
            </w:pPr>
            <w:r w:rsidRPr="00A25F2C">
              <w:t>21,268,000</w:t>
            </w:r>
          </w:p>
        </w:tc>
      </w:tr>
      <w:tr w:rsidR="007F4791" w:rsidRPr="00A25F2C" w14:paraId="09295BBA" w14:textId="77777777" w:rsidTr="0086694E">
        <w:trPr>
          <w:cantSplit/>
        </w:trPr>
        <w:tc>
          <w:tcPr>
            <w:tcW w:w="697" w:type="pct"/>
          </w:tcPr>
          <w:p w14:paraId="4B1CEA7C" w14:textId="77777777" w:rsidR="007F4791" w:rsidRPr="00A25F2C" w:rsidRDefault="007F4791" w:rsidP="004E1FA1">
            <w:pPr>
              <w:pStyle w:val="TableBodyText"/>
            </w:pPr>
            <w:r w:rsidRPr="00A25F2C">
              <w:t>Capital expenditure in 2024-25</w:t>
            </w:r>
          </w:p>
        </w:tc>
        <w:tc>
          <w:tcPr>
            <w:tcW w:w="674" w:type="pct"/>
          </w:tcPr>
          <w:p w14:paraId="07CE0CDE" w14:textId="77777777" w:rsidR="007F4791" w:rsidRPr="00A25F2C" w:rsidRDefault="007F4791" w:rsidP="00E97A23">
            <w:pPr>
              <w:pStyle w:val="TableBodyText"/>
              <w:jc w:val="right"/>
            </w:pPr>
            <w:r w:rsidRPr="00A25F2C">
              <w:t>4,247,268</w:t>
            </w:r>
          </w:p>
        </w:tc>
        <w:tc>
          <w:tcPr>
            <w:tcW w:w="772" w:type="pct"/>
          </w:tcPr>
          <w:p w14:paraId="7EC57D7D" w14:textId="77777777" w:rsidR="007F4791" w:rsidRPr="00A25F2C" w:rsidRDefault="007F4791" w:rsidP="00E97A23">
            <w:pPr>
              <w:pStyle w:val="TableBodyText"/>
              <w:jc w:val="right"/>
            </w:pPr>
            <w:r w:rsidRPr="00A25F2C">
              <w:t>90,566,628</w:t>
            </w:r>
          </w:p>
        </w:tc>
        <w:tc>
          <w:tcPr>
            <w:tcW w:w="678" w:type="pct"/>
          </w:tcPr>
          <w:p w14:paraId="415B9419" w14:textId="77777777" w:rsidR="007F4791" w:rsidRPr="00A25F2C" w:rsidRDefault="007F4791" w:rsidP="00E97A23">
            <w:pPr>
              <w:pStyle w:val="TableBodyText"/>
              <w:jc w:val="right"/>
            </w:pPr>
            <w:r w:rsidRPr="00A25F2C">
              <w:t>245,170,000</w:t>
            </w:r>
          </w:p>
        </w:tc>
        <w:tc>
          <w:tcPr>
            <w:tcW w:w="768" w:type="pct"/>
          </w:tcPr>
          <w:p w14:paraId="3EF5A6CA" w14:textId="4FB047BC" w:rsidR="007F4791" w:rsidRPr="00A25F2C" w:rsidRDefault="00995D31" w:rsidP="00E97A23">
            <w:pPr>
              <w:pStyle w:val="TableBodyText"/>
              <w:jc w:val="right"/>
            </w:pPr>
            <w:r>
              <w:t>N/A</w:t>
            </w:r>
          </w:p>
        </w:tc>
        <w:tc>
          <w:tcPr>
            <w:tcW w:w="750" w:type="pct"/>
          </w:tcPr>
          <w:p w14:paraId="01969A1D" w14:textId="77777777" w:rsidR="007F4791" w:rsidRPr="00A25F2C" w:rsidRDefault="007F4791" w:rsidP="00E97A23">
            <w:pPr>
              <w:pStyle w:val="TableBodyText"/>
              <w:jc w:val="right"/>
            </w:pPr>
            <w:r w:rsidRPr="00A25F2C">
              <w:t>3,920,000</w:t>
            </w:r>
          </w:p>
        </w:tc>
        <w:tc>
          <w:tcPr>
            <w:tcW w:w="660" w:type="pct"/>
          </w:tcPr>
          <w:p w14:paraId="4A17ABDF" w14:textId="77777777" w:rsidR="007F4791" w:rsidRPr="00A25F2C" w:rsidRDefault="007F4791" w:rsidP="00E97A23">
            <w:pPr>
              <w:pStyle w:val="TableBodyText"/>
              <w:jc w:val="right"/>
            </w:pPr>
            <w:r w:rsidRPr="00A25F2C">
              <w:t>55,275,000</w:t>
            </w:r>
          </w:p>
        </w:tc>
      </w:tr>
      <w:tr w:rsidR="007F4791" w:rsidRPr="00A25F2C" w14:paraId="5C0C9701" w14:textId="77777777" w:rsidTr="0086694E">
        <w:trPr>
          <w:cantSplit/>
        </w:trPr>
        <w:tc>
          <w:tcPr>
            <w:tcW w:w="697" w:type="pct"/>
          </w:tcPr>
          <w:p w14:paraId="12B091F1" w14:textId="77777777" w:rsidR="007F4791" w:rsidRPr="00A25F2C" w:rsidRDefault="007F4791" w:rsidP="004E1FA1">
            <w:pPr>
              <w:pStyle w:val="TableBodyText"/>
            </w:pPr>
            <w:r w:rsidRPr="00A25F2C">
              <w:t>Capital expenditure in 2025-26</w:t>
            </w:r>
          </w:p>
        </w:tc>
        <w:tc>
          <w:tcPr>
            <w:tcW w:w="674" w:type="pct"/>
          </w:tcPr>
          <w:p w14:paraId="6FF7B5CD" w14:textId="3D964A10" w:rsidR="007F4791" w:rsidRPr="00A25F2C" w:rsidRDefault="00995D31" w:rsidP="00E97A23">
            <w:pPr>
              <w:pStyle w:val="TableBodyText"/>
              <w:jc w:val="right"/>
            </w:pPr>
            <w:r>
              <w:t>N/A</w:t>
            </w:r>
          </w:p>
        </w:tc>
        <w:tc>
          <w:tcPr>
            <w:tcW w:w="772" w:type="pct"/>
          </w:tcPr>
          <w:p w14:paraId="4A268E3C" w14:textId="77777777" w:rsidR="007F4791" w:rsidRPr="00A25F2C" w:rsidRDefault="007F4791" w:rsidP="00E97A23">
            <w:pPr>
              <w:pStyle w:val="TableBodyText"/>
              <w:jc w:val="right"/>
            </w:pPr>
            <w:r w:rsidRPr="00A25F2C">
              <w:t>16,351,182</w:t>
            </w:r>
          </w:p>
        </w:tc>
        <w:tc>
          <w:tcPr>
            <w:tcW w:w="678" w:type="pct"/>
          </w:tcPr>
          <w:p w14:paraId="52D1A419" w14:textId="77777777" w:rsidR="007F4791" w:rsidRPr="00A25F2C" w:rsidRDefault="007F4791" w:rsidP="00E97A23">
            <w:pPr>
              <w:pStyle w:val="TableBodyText"/>
              <w:jc w:val="right"/>
            </w:pPr>
            <w:r w:rsidRPr="00A25F2C">
              <w:t>125,875,000</w:t>
            </w:r>
          </w:p>
        </w:tc>
        <w:tc>
          <w:tcPr>
            <w:tcW w:w="768" w:type="pct"/>
          </w:tcPr>
          <w:p w14:paraId="12A2A6CF" w14:textId="35E2F56A" w:rsidR="007F4791" w:rsidRPr="00A25F2C" w:rsidRDefault="00995D31" w:rsidP="00E97A23">
            <w:pPr>
              <w:pStyle w:val="TableBodyText"/>
              <w:jc w:val="right"/>
            </w:pPr>
            <w:r>
              <w:t>N/A</w:t>
            </w:r>
          </w:p>
        </w:tc>
        <w:tc>
          <w:tcPr>
            <w:tcW w:w="750" w:type="pct"/>
          </w:tcPr>
          <w:p w14:paraId="0AFC2599" w14:textId="77777777" w:rsidR="007F4791" w:rsidRPr="00A25F2C" w:rsidRDefault="007F4791" w:rsidP="00E97A23">
            <w:pPr>
              <w:pStyle w:val="TableBodyText"/>
              <w:jc w:val="right"/>
            </w:pPr>
            <w:r w:rsidRPr="00A25F2C">
              <w:t>3,920,000</w:t>
            </w:r>
          </w:p>
        </w:tc>
        <w:tc>
          <w:tcPr>
            <w:tcW w:w="660" w:type="pct"/>
          </w:tcPr>
          <w:p w14:paraId="2133D204" w14:textId="77777777" w:rsidR="007F4791" w:rsidRPr="00A25F2C" w:rsidRDefault="007F4791" w:rsidP="00E97A23">
            <w:pPr>
              <w:pStyle w:val="TableBodyText"/>
              <w:jc w:val="right"/>
            </w:pPr>
            <w:r w:rsidRPr="00A25F2C">
              <w:t>33,471,000</w:t>
            </w:r>
          </w:p>
        </w:tc>
      </w:tr>
      <w:tr w:rsidR="007F4791" w:rsidRPr="00A25F2C" w14:paraId="0C80B6BD" w14:textId="77777777" w:rsidTr="0086694E">
        <w:trPr>
          <w:cantSplit/>
        </w:trPr>
        <w:tc>
          <w:tcPr>
            <w:tcW w:w="697" w:type="pct"/>
          </w:tcPr>
          <w:p w14:paraId="6A09DA00" w14:textId="77777777" w:rsidR="007F4791" w:rsidRPr="00A25F2C" w:rsidRDefault="007F4791" w:rsidP="004E1FA1">
            <w:pPr>
              <w:pStyle w:val="TableBodyText"/>
            </w:pPr>
            <w:r w:rsidRPr="00A25F2C">
              <w:t>Capital expenditure in 2026-27</w:t>
            </w:r>
          </w:p>
        </w:tc>
        <w:tc>
          <w:tcPr>
            <w:tcW w:w="674" w:type="pct"/>
          </w:tcPr>
          <w:p w14:paraId="09CC6E74" w14:textId="5F63A993" w:rsidR="007F4791" w:rsidRPr="00A25F2C" w:rsidRDefault="00995D31" w:rsidP="00E97A23">
            <w:pPr>
              <w:pStyle w:val="TableBodyText"/>
              <w:jc w:val="right"/>
            </w:pPr>
            <w:r>
              <w:t>N/A</w:t>
            </w:r>
          </w:p>
        </w:tc>
        <w:tc>
          <w:tcPr>
            <w:tcW w:w="772" w:type="pct"/>
          </w:tcPr>
          <w:p w14:paraId="2004BA40" w14:textId="77777777" w:rsidR="007F4791" w:rsidRPr="00A25F2C" w:rsidRDefault="007F4791" w:rsidP="00E97A23">
            <w:pPr>
              <w:pStyle w:val="TableBodyText"/>
              <w:jc w:val="right"/>
            </w:pPr>
            <w:r w:rsidRPr="00A25F2C">
              <w:t>2,596,119</w:t>
            </w:r>
          </w:p>
        </w:tc>
        <w:tc>
          <w:tcPr>
            <w:tcW w:w="678" w:type="pct"/>
          </w:tcPr>
          <w:p w14:paraId="299BC4DB" w14:textId="77777777" w:rsidR="007F4791" w:rsidRPr="00A25F2C" w:rsidRDefault="007F4791" w:rsidP="00E97A23">
            <w:pPr>
              <w:pStyle w:val="TableBodyText"/>
              <w:jc w:val="right"/>
            </w:pPr>
            <w:r w:rsidRPr="00A25F2C">
              <w:t>39,701,000</w:t>
            </w:r>
          </w:p>
        </w:tc>
        <w:tc>
          <w:tcPr>
            <w:tcW w:w="768" w:type="pct"/>
          </w:tcPr>
          <w:p w14:paraId="28E81FCC" w14:textId="3676EFD0" w:rsidR="007F4791" w:rsidRPr="00A25F2C" w:rsidRDefault="00995D31" w:rsidP="00E97A23">
            <w:pPr>
              <w:pStyle w:val="TableBodyText"/>
              <w:jc w:val="right"/>
            </w:pPr>
            <w:r>
              <w:t>N/A</w:t>
            </w:r>
          </w:p>
        </w:tc>
        <w:tc>
          <w:tcPr>
            <w:tcW w:w="750" w:type="pct"/>
          </w:tcPr>
          <w:p w14:paraId="084D455A" w14:textId="77777777" w:rsidR="007F4791" w:rsidRPr="00A25F2C" w:rsidRDefault="007F4791" w:rsidP="00E97A23">
            <w:pPr>
              <w:pStyle w:val="TableBodyText"/>
              <w:jc w:val="right"/>
            </w:pPr>
            <w:r w:rsidRPr="00A25F2C">
              <w:t>320,000</w:t>
            </w:r>
          </w:p>
        </w:tc>
        <w:tc>
          <w:tcPr>
            <w:tcW w:w="660" w:type="pct"/>
          </w:tcPr>
          <w:p w14:paraId="62E87FEE" w14:textId="77777777" w:rsidR="007F4791" w:rsidRPr="00A25F2C" w:rsidRDefault="007F4791" w:rsidP="00E97A23">
            <w:pPr>
              <w:pStyle w:val="TableBodyText"/>
              <w:jc w:val="right"/>
            </w:pPr>
            <w:r w:rsidRPr="00A25F2C">
              <w:t>10,558,000</w:t>
            </w:r>
          </w:p>
        </w:tc>
      </w:tr>
      <w:tr w:rsidR="007F4791" w:rsidRPr="00A25F2C" w14:paraId="338D1980" w14:textId="77777777" w:rsidTr="0086694E">
        <w:trPr>
          <w:cantSplit/>
        </w:trPr>
        <w:tc>
          <w:tcPr>
            <w:tcW w:w="697" w:type="pct"/>
          </w:tcPr>
          <w:p w14:paraId="40EF2C01" w14:textId="77777777" w:rsidR="007F4791" w:rsidRPr="00A25F2C" w:rsidRDefault="007F4791" w:rsidP="004E1FA1">
            <w:pPr>
              <w:pStyle w:val="TableBodyText"/>
            </w:pPr>
            <w:r w:rsidRPr="00A25F2C">
              <w:t>Capital expenditure in 2027-28</w:t>
            </w:r>
          </w:p>
        </w:tc>
        <w:tc>
          <w:tcPr>
            <w:tcW w:w="674" w:type="pct"/>
          </w:tcPr>
          <w:p w14:paraId="3F4431E0" w14:textId="6619F42C" w:rsidR="007F4791" w:rsidRPr="00A25F2C" w:rsidRDefault="00995D31" w:rsidP="00E97A23">
            <w:pPr>
              <w:pStyle w:val="TableBodyText"/>
              <w:jc w:val="right"/>
            </w:pPr>
            <w:r>
              <w:t>N/A</w:t>
            </w:r>
          </w:p>
        </w:tc>
        <w:tc>
          <w:tcPr>
            <w:tcW w:w="772" w:type="pct"/>
          </w:tcPr>
          <w:p w14:paraId="70F33A04" w14:textId="38BCD551" w:rsidR="007F4791" w:rsidRPr="00A25F2C" w:rsidRDefault="00995D31" w:rsidP="00E97A23">
            <w:pPr>
              <w:pStyle w:val="TableBodyText"/>
              <w:jc w:val="right"/>
            </w:pPr>
            <w:r>
              <w:t>N/A</w:t>
            </w:r>
          </w:p>
        </w:tc>
        <w:tc>
          <w:tcPr>
            <w:tcW w:w="678" w:type="pct"/>
          </w:tcPr>
          <w:p w14:paraId="763BCFF4" w14:textId="77777777" w:rsidR="007F4791" w:rsidRPr="00A25F2C" w:rsidRDefault="007F4791" w:rsidP="00E97A23">
            <w:pPr>
              <w:pStyle w:val="TableBodyText"/>
              <w:jc w:val="right"/>
            </w:pPr>
            <w:r w:rsidRPr="00A25F2C">
              <w:t>6,698,000</w:t>
            </w:r>
          </w:p>
        </w:tc>
        <w:tc>
          <w:tcPr>
            <w:tcW w:w="768" w:type="pct"/>
          </w:tcPr>
          <w:p w14:paraId="4479B140" w14:textId="0A11DECF" w:rsidR="007F4791" w:rsidRPr="00A25F2C" w:rsidRDefault="00995D31" w:rsidP="00E97A23">
            <w:pPr>
              <w:pStyle w:val="TableBodyText"/>
              <w:jc w:val="right"/>
            </w:pPr>
            <w:r>
              <w:t>N/A</w:t>
            </w:r>
          </w:p>
        </w:tc>
        <w:tc>
          <w:tcPr>
            <w:tcW w:w="750" w:type="pct"/>
          </w:tcPr>
          <w:p w14:paraId="6F0E62DB" w14:textId="77777777" w:rsidR="007F4791" w:rsidRPr="00A25F2C" w:rsidRDefault="007F4791" w:rsidP="00E97A23">
            <w:pPr>
              <w:pStyle w:val="TableBodyText"/>
              <w:jc w:val="right"/>
            </w:pPr>
            <w:r w:rsidRPr="00A25F2C">
              <w:t>78,720,000</w:t>
            </w:r>
          </w:p>
        </w:tc>
        <w:tc>
          <w:tcPr>
            <w:tcW w:w="660" w:type="pct"/>
          </w:tcPr>
          <w:p w14:paraId="3440C332" w14:textId="77777777" w:rsidR="007F4791" w:rsidRPr="00A25F2C" w:rsidRDefault="007F4791" w:rsidP="00E97A23">
            <w:pPr>
              <w:pStyle w:val="TableBodyText"/>
              <w:jc w:val="right"/>
            </w:pPr>
            <w:r w:rsidRPr="00A25F2C">
              <w:t>1,780,000</w:t>
            </w:r>
          </w:p>
        </w:tc>
      </w:tr>
    </w:tbl>
    <w:p w14:paraId="207BCC69" w14:textId="77777777" w:rsidR="009A601F" w:rsidRDefault="009A601F">
      <w:pPr>
        <w:spacing w:line="240" w:lineRule="auto"/>
        <w:rPr>
          <w:rFonts w:eastAsia="Cambria"/>
        </w:rPr>
      </w:pPr>
      <w:r>
        <w:br w:type="page"/>
      </w:r>
    </w:p>
    <w:p w14:paraId="68595FC3" w14:textId="20D5D45B" w:rsidR="00143D6B" w:rsidRDefault="007F4791" w:rsidP="005C41F0">
      <w:pPr>
        <w:pStyle w:val="Heading2"/>
        <w:pageBreakBefore/>
      </w:pPr>
      <w:bookmarkStart w:id="71" w:name="_Toc147756918"/>
      <w:r w:rsidRPr="00A25F2C">
        <w:lastRenderedPageBreak/>
        <w:t>Appendix E – Financials</w:t>
      </w:r>
      <w:bookmarkEnd w:id="71"/>
    </w:p>
    <w:p w14:paraId="0ECFA29E" w14:textId="6A17B347" w:rsidR="007F4791" w:rsidRPr="00A25F2C" w:rsidRDefault="00E97A23" w:rsidP="00E97A23">
      <w:pPr>
        <w:pStyle w:val="Caption"/>
      </w:pPr>
      <w:r w:rsidRPr="00E97A23">
        <w:t>Table E1 – Economic planning assumptions</w:t>
      </w:r>
    </w:p>
    <w:tbl>
      <w:tblPr>
        <w:tblStyle w:val="TableProfessional"/>
        <w:tblW w:w="5000" w:type="pct"/>
        <w:tblLook w:val="0620" w:firstRow="1" w:lastRow="0" w:firstColumn="0" w:lastColumn="0" w:noHBand="1" w:noVBand="1"/>
      </w:tblPr>
      <w:tblGrid>
        <w:gridCol w:w="1532"/>
        <w:gridCol w:w="2041"/>
        <w:gridCol w:w="3931"/>
        <w:gridCol w:w="2127"/>
      </w:tblGrid>
      <w:tr w:rsidR="00143D6B" w:rsidRPr="00A25F2C" w14:paraId="6F785B2D" w14:textId="77777777" w:rsidTr="0086694E">
        <w:trPr>
          <w:cnfStyle w:val="100000000000" w:firstRow="1" w:lastRow="0" w:firstColumn="0" w:lastColumn="0" w:oddVBand="0" w:evenVBand="0" w:oddHBand="0" w:evenHBand="0" w:firstRowFirstColumn="0" w:firstRowLastColumn="0" w:lastRowFirstColumn="0" w:lastRowLastColumn="0"/>
          <w:cantSplit/>
        </w:trPr>
        <w:tc>
          <w:tcPr>
            <w:tcW w:w="818" w:type="pct"/>
          </w:tcPr>
          <w:p w14:paraId="4E9E3E3F" w14:textId="77777777" w:rsidR="007F4791" w:rsidRPr="00A25F2C" w:rsidRDefault="007F4791" w:rsidP="004E1FA1">
            <w:pPr>
              <w:pStyle w:val="TableBodyText"/>
            </w:pPr>
            <w:r w:rsidRPr="00A25F2C">
              <w:t>Planning Parameter</w:t>
            </w:r>
          </w:p>
        </w:tc>
        <w:tc>
          <w:tcPr>
            <w:tcW w:w="1082" w:type="pct"/>
          </w:tcPr>
          <w:p w14:paraId="27C6CF3B" w14:textId="77777777" w:rsidR="007F4791" w:rsidRPr="00A25F2C" w:rsidRDefault="007F4791" w:rsidP="004E1FA1">
            <w:pPr>
              <w:pStyle w:val="TableBodyText"/>
            </w:pPr>
            <w:r w:rsidRPr="00A25F2C">
              <w:t>Value</w:t>
            </w:r>
          </w:p>
        </w:tc>
        <w:tc>
          <w:tcPr>
            <w:tcW w:w="2063" w:type="pct"/>
          </w:tcPr>
          <w:p w14:paraId="1108C3D5" w14:textId="77777777" w:rsidR="007F4791" w:rsidRPr="00A25F2C" w:rsidRDefault="007F4791" w:rsidP="004E1FA1">
            <w:pPr>
              <w:pStyle w:val="TableBodyText"/>
            </w:pPr>
            <w:r w:rsidRPr="00A25F2C">
              <w:t>Source</w:t>
            </w:r>
          </w:p>
        </w:tc>
        <w:tc>
          <w:tcPr>
            <w:tcW w:w="1037" w:type="pct"/>
          </w:tcPr>
          <w:p w14:paraId="184D7B1A" w14:textId="1ACDDBC5" w:rsidR="007F4791" w:rsidRPr="00A25F2C" w:rsidRDefault="007F4791" w:rsidP="004E1FA1">
            <w:pPr>
              <w:pStyle w:val="TableBodyText"/>
            </w:pPr>
            <w:r w:rsidRPr="00A25F2C">
              <w:t>Sensitivity/Exceptions</w:t>
            </w:r>
          </w:p>
        </w:tc>
      </w:tr>
      <w:tr w:rsidR="00143D6B" w:rsidRPr="00A25F2C" w14:paraId="123AEF2A" w14:textId="77777777" w:rsidTr="0086694E">
        <w:trPr>
          <w:cantSplit/>
        </w:trPr>
        <w:tc>
          <w:tcPr>
            <w:tcW w:w="818" w:type="pct"/>
          </w:tcPr>
          <w:p w14:paraId="22DA6745" w14:textId="77777777" w:rsidR="007F4791" w:rsidRPr="00A25F2C" w:rsidRDefault="007F4791" w:rsidP="004E1FA1">
            <w:pPr>
              <w:pStyle w:val="TableBodyText"/>
            </w:pPr>
            <w:r w:rsidRPr="00A25F2C">
              <w:t>Consumer Price Index (CPI)</w:t>
            </w:r>
          </w:p>
        </w:tc>
        <w:tc>
          <w:tcPr>
            <w:tcW w:w="1082" w:type="pct"/>
          </w:tcPr>
          <w:p w14:paraId="2FB879F7" w14:textId="77777777" w:rsidR="007F4791" w:rsidRPr="00A25F2C" w:rsidRDefault="007F4791" w:rsidP="004E1FA1">
            <w:pPr>
              <w:pStyle w:val="TableBodyText"/>
            </w:pPr>
            <w:r w:rsidRPr="00A25F2C">
              <w:t>2022-23 – 5.09%</w:t>
            </w:r>
          </w:p>
          <w:p w14:paraId="532BBF89" w14:textId="77777777" w:rsidR="007F4791" w:rsidRPr="00A25F2C" w:rsidRDefault="007F4791" w:rsidP="004E1FA1">
            <w:pPr>
              <w:pStyle w:val="TableBodyText"/>
            </w:pPr>
            <w:r w:rsidRPr="00A25F2C">
              <w:t>2023-24 – 6.90%</w:t>
            </w:r>
          </w:p>
          <w:p w14:paraId="505FDD8F" w14:textId="77777777" w:rsidR="007F4791" w:rsidRPr="00A25F2C" w:rsidRDefault="007F4791" w:rsidP="004E1FA1">
            <w:pPr>
              <w:pStyle w:val="TableBodyText"/>
            </w:pPr>
            <w:r w:rsidRPr="00A25F2C">
              <w:t>2024-25 – 3.50%</w:t>
            </w:r>
          </w:p>
          <w:p w14:paraId="08C39B48" w14:textId="77777777" w:rsidR="007F4791" w:rsidRPr="00A25F2C" w:rsidRDefault="007F4791" w:rsidP="004E1FA1">
            <w:pPr>
              <w:pStyle w:val="TableBodyText"/>
            </w:pPr>
            <w:r w:rsidRPr="00A25F2C">
              <w:t>2025-26 – 2.50%</w:t>
            </w:r>
          </w:p>
          <w:p w14:paraId="5328D4F3" w14:textId="77777777" w:rsidR="007F4791" w:rsidRPr="00A25F2C" w:rsidRDefault="007F4791" w:rsidP="004E1FA1">
            <w:pPr>
              <w:pStyle w:val="TableBodyText"/>
            </w:pPr>
            <w:r w:rsidRPr="00A25F2C">
              <w:t>2026-27 – 2.50%</w:t>
            </w:r>
          </w:p>
          <w:p w14:paraId="607E462B" w14:textId="77777777" w:rsidR="007F4791" w:rsidRPr="00A25F2C" w:rsidRDefault="007F4791" w:rsidP="004E1FA1">
            <w:pPr>
              <w:pStyle w:val="TableBodyText"/>
            </w:pPr>
            <w:r w:rsidRPr="00A25F2C">
              <w:t>2027-28 – 2.50%</w:t>
            </w:r>
          </w:p>
        </w:tc>
        <w:tc>
          <w:tcPr>
            <w:tcW w:w="2063" w:type="pct"/>
          </w:tcPr>
          <w:p w14:paraId="63F5EEEA" w14:textId="77777777" w:rsidR="007F4791" w:rsidRPr="00A25F2C" w:rsidRDefault="007F4791" w:rsidP="004E1FA1">
            <w:pPr>
              <w:pStyle w:val="TableBodyText"/>
            </w:pPr>
            <w:r w:rsidRPr="00A25F2C">
              <w:t>Forecast reflects Westpac Weekly 6 Feb 2023 edition.</w:t>
            </w:r>
          </w:p>
        </w:tc>
        <w:tc>
          <w:tcPr>
            <w:tcW w:w="1037" w:type="pct"/>
          </w:tcPr>
          <w:p w14:paraId="373BF536" w14:textId="77777777" w:rsidR="007F4791" w:rsidRPr="00A25F2C" w:rsidRDefault="007F4791" w:rsidP="004E1FA1">
            <w:pPr>
              <w:pStyle w:val="TableBodyText"/>
            </w:pPr>
            <w:r w:rsidRPr="00A25F2C">
              <w:t>Dependent on Australian economic performance.</w:t>
            </w:r>
          </w:p>
        </w:tc>
      </w:tr>
      <w:tr w:rsidR="00143D6B" w:rsidRPr="00A25F2C" w14:paraId="527336BF" w14:textId="77777777" w:rsidTr="0086694E">
        <w:trPr>
          <w:cantSplit/>
        </w:trPr>
        <w:tc>
          <w:tcPr>
            <w:tcW w:w="818" w:type="pct"/>
          </w:tcPr>
          <w:p w14:paraId="654E188C" w14:textId="77777777" w:rsidR="007F4791" w:rsidRPr="00A25F2C" w:rsidRDefault="007F4791" w:rsidP="004E1FA1">
            <w:pPr>
              <w:pStyle w:val="TableBodyText"/>
            </w:pPr>
            <w:r w:rsidRPr="00A25F2C">
              <w:t>Interest Rates</w:t>
            </w:r>
          </w:p>
        </w:tc>
        <w:tc>
          <w:tcPr>
            <w:tcW w:w="1082" w:type="pct"/>
          </w:tcPr>
          <w:p w14:paraId="0010970B" w14:textId="77777777" w:rsidR="007F4791" w:rsidRPr="00A25F2C" w:rsidRDefault="007F4791" w:rsidP="004E1FA1">
            <w:pPr>
              <w:pStyle w:val="TableBodyText"/>
            </w:pPr>
            <w:r w:rsidRPr="00A25F2C">
              <w:t>Short-term debt 4.015%</w:t>
            </w:r>
          </w:p>
          <w:p w14:paraId="177F2EDB" w14:textId="77777777" w:rsidR="007F4791" w:rsidRPr="00A25F2C" w:rsidRDefault="007F4791" w:rsidP="004E1FA1">
            <w:pPr>
              <w:pStyle w:val="TableBodyText"/>
            </w:pPr>
            <w:r w:rsidRPr="00A25F2C">
              <w:t>decreasing to 3.165%</w:t>
            </w:r>
          </w:p>
          <w:p w14:paraId="05354155" w14:textId="77777777" w:rsidR="007F4791" w:rsidRPr="00A25F2C" w:rsidRDefault="007F4791" w:rsidP="004E1FA1">
            <w:pPr>
              <w:pStyle w:val="TableBodyText"/>
            </w:pPr>
            <w:r w:rsidRPr="00A25F2C">
              <w:t>Long-term debt 4.745%</w:t>
            </w:r>
          </w:p>
          <w:p w14:paraId="67181CBB" w14:textId="77777777" w:rsidR="007F4791" w:rsidRPr="00A25F2C" w:rsidRDefault="007F4791" w:rsidP="004E1FA1">
            <w:pPr>
              <w:pStyle w:val="TableBodyText"/>
            </w:pPr>
            <w:r w:rsidRPr="00A25F2C">
              <w:t>decreasing to 4.645%</w:t>
            </w:r>
          </w:p>
        </w:tc>
        <w:tc>
          <w:tcPr>
            <w:tcW w:w="2063" w:type="pct"/>
          </w:tcPr>
          <w:p w14:paraId="316C9E5D" w14:textId="77777777" w:rsidR="007F4791" w:rsidRPr="00A25F2C" w:rsidRDefault="007F4791" w:rsidP="004E1FA1">
            <w:pPr>
              <w:pStyle w:val="TableBodyText"/>
            </w:pPr>
            <w:r w:rsidRPr="00A25F2C">
              <w:t>Actual rates on current loans and future rates from Treasury Corporation of Victoria.</w:t>
            </w:r>
          </w:p>
        </w:tc>
        <w:tc>
          <w:tcPr>
            <w:tcW w:w="1037" w:type="pct"/>
          </w:tcPr>
          <w:p w14:paraId="4E19E501" w14:textId="77777777" w:rsidR="007F4791" w:rsidRPr="00A25F2C" w:rsidRDefault="007F4791" w:rsidP="004E1FA1">
            <w:pPr>
              <w:pStyle w:val="TableBodyText"/>
            </w:pPr>
            <w:r w:rsidRPr="00A25F2C">
              <w:t>Dependent on Australian economic performance.</w:t>
            </w:r>
          </w:p>
        </w:tc>
      </w:tr>
      <w:tr w:rsidR="00143D6B" w:rsidRPr="00A25F2C" w14:paraId="4A1A3EFB" w14:textId="77777777" w:rsidTr="0086694E">
        <w:trPr>
          <w:cantSplit/>
        </w:trPr>
        <w:tc>
          <w:tcPr>
            <w:tcW w:w="818" w:type="pct"/>
          </w:tcPr>
          <w:p w14:paraId="29081FFE" w14:textId="77777777" w:rsidR="007F4791" w:rsidRPr="00A25F2C" w:rsidRDefault="007F4791" w:rsidP="004E1FA1">
            <w:pPr>
              <w:pStyle w:val="TableBodyText"/>
            </w:pPr>
            <w:r w:rsidRPr="00A25F2C">
              <w:t>Financial Accommodation Levy (FAL)</w:t>
            </w:r>
          </w:p>
        </w:tc>
        <w:tc>
          <w:tcPr>
            <w:tcW w:w="1082" w:type="pct"/>
          </w:tcPr>
          <w:p w14:paraId="62C9009E" w14:textId="77777777" w:rsidR="007F4791" w:rsidRPr="00A25F2C" w:rsidRDefault="007F4791" w:rsidP="004E1FA1">
            <w:pPr>
              <w:pStyle w:val="TableBodyText"/>
            </w:pPr>
            <w:r w:rsidRPr="00A25F2C">
              <w:t>0.89%</w:t>
            </w:r>
          </w:p>
        </w:tc>
        <w:tc>
          <w:tcPr>
            <w:tcW w:w="2063" w:type="pct"/>
          </w:tcPr>
          <w:p w14:paraId="5D0A0938" w14:textId="77777777" w:rsidR="007F4791" w:rsidRPr="00A25F2C" w:rsidRDefault="007F4791" w:rsidP="004E1FA1">
            <w:pPr>
              <w:pStyle w:val="TableBodyText"/>
            </w:pPr>
            <w:r w:rsidRPr="00A25F2C">
              <w:t>Department of Treasury and Finance – Victoria.</w:t>
            </w:r>
          </w:p>
        </w:tc>
        <w:tc>
          <w:tcPr>
            <w:tcW w:w="1037" w:type="pct"/>
          </w:tcPr>
          <w:p w14:paraId="6510A1C0" w14:textId="77777777" w:rsidR="007F4791" w:rsidRPr="00A25F2C" w:rsidRDefault="007F4791" w:rsidP="004E1FA1">
            <w:pPr>
              <w:pStyle w:val="TableBodyText"/>
            </w:pPr>
            <w:r w:rsidRPr="00A25F2C">
              <w:t>Dependent on Australian economic performance.</w:t>
            </w:r>
          </w:p>
        </w:tc>
      </w:tr>
    </w:tbl>
    <w:p w14:paraId="3D4E8F9F" w14:textId="261279EC" w:rsidR="007F4791" w:rsidRPr="00A25F2C" w:rsidRDefault="00E97A23" w:rsidP="00335623">
      <w:pPr>
        <w:pStyle w:val="Caption"/>
      </w:pPr>
      <w:r w:rsidRPr="00E97A23">
        <w:t>Table E2 – Revenue planning assumptions</w:t>
      </w:r>
    </w:p>
    <w:tbl>
      <w:tblPr>
        <w:tblStyle w:val="TableProfessional"/>
        <w:tblW w:w="5000" w:type="pct"/>
        <w:tblLook w:val="0620" w:firstRow="1" w:lastRow="0" w:firstColumn="0" w:lastColumn="0" w:noHBand="1" w:noVBand="1"/>
      </w:tblPr>
      <w:tblGrid>
        <w:gridCol w:w="1513"/>
        <w:gridCol w:w="2173"/>
        <w:gridCol w:w="3818"/>
        <w:gridCol w:w="2127"/>
      </w:tblGrid>
      <w:tr w:rsidR="00143D6B" w:rsidRPr="00A25F2C" w14:paraId="78A52CAA" w14:textId="77777777" w:rsidTr="00671EDB">
        <w:trPr>
          <w:cnfStyle w:val="100000000000" w:firstRow="1" w:lastRow="0" w:firstColumn="0" w:lastColumn="0" w:oddVBand="0" w:evenVBand="0" w:oddHBand="0" w:evenHBand="0" w:firstRowFirstColumn="0" w:firstRowLastColumn="0" w:lastRowFirstColumn="0" w:lastRowLastColumn="0"/>
          <w:cantSplit/>
        </w:trPr>
        <w:tc>
          <w:tcPr>
            <w:tcW w:w="785" w:type="pct"/>
          </w:tcPr>
          <w:p w14:paraId="09E88D59" w14:textId="77777777" w:rsidR="007F4791" w:rsidRPr="00A25F2C" w:rsidRDefault="007F4791" w:rsidP="004E1FA1">
            <w:pPr>
              <w:pStyle w:val="TableBodyText"/>
            </w:pPr>
            <w:r w:rsidRPr="00A25F2C">
              <w:t>Planning Parameter</w:t>
            </w:r>
          </w:p>
        </w:tc>
        <w:tc>
          <w:tcPr>
            <w:tcW w:w="1128" w:type="pct"/>
          </w:tcPr>
          <w:p w14:paraId="398346DB" w14:textId="77777777" w:rsidR="007F4791" w:rsidRPr="00A25F2C" w:rsidRDefault="007F4791" w:rsidP="004E1FA1">
            <w:pPr>
              <w:pStyle w:val="TableBodyText"/>
            </w:pPr>
            <w:r w:rsidRPr="00A25F2C">
              <w:t>Value</w:t>
            </w:r>
          </w:p>
        </w:tc>
        <w:tc>
          <w:tcPr>
            <w:tcW w:w="1982" w:type="pct"/>
          </w:tcPr>
          <w:p w14:paraId="7C4209E2" w14:textId="77777777" w:rsidR="007F4791" w:rsidRPr="00A25F2C" w:rsidRDefault="007F4791" w:rsidP="004E1FA1">
            <w:pPr>
              <w:pStyle w:val="TableBodyText"/>
            </w:pPr>
            <w:r w:rsidRPr="00A25F2C">
              <w:t>Source</w:t>
            </w:r>
          </w:p>
        </w:tc>
        <w:tc>
          <w:tcPr>
            <w:tcW w:w="1104" w:type="pct"/>
          </w:tcPr>
          <w:p w14:paraId="0C822A80" w14:textId="77777777" w:rsidR="007F4791" w:rsidRPr="00A25F2C" w:rsidRDefault="007F4791" w:rsidP="004E1FA1">
            <w:pPr>
              <w:pStyle w:val="TableBodyText"/>
            </w:pPr>
            <w:r w:rsidRPr="00A25F2C">
              <w:t>Sensitivity/Exceptions</w:t>
            </w:r>
          </w:p>
        </w:tc>
      </w:tr>
      <w:tr w:rsidR="00143D6B" w:rsidRPr="00A25F2C" w14:paraId="1604475C" w14:textId="77777777" w:rsidTr="00671EDB">
        <w:trPr>
          <w:cantSplit/>
        </w:trPr>
        <w:tc>
          <w:tcPr>
            <w:tcW w:w="785" w:type="pct"/>
          </w:tcPr>
          <w:p w14:paraId="132A56D3" w14:textId="77777777" w:rsidR="007F4791" w:rsidRPr="00A25F2C" w:rsidRDefault="007F4791" w:rsidP="004E1FA1">
            <w:pPr>
              <w:pStyle w:val="TableBodyText"/>
            </w:pPr>
            <w:r w:rsidRPr="00A25F2C">
              <w:t>Water and sewerage prices from 2023-24</w:t>
            </w:r>
          </w:p>
          <w:p w14:paraId="5A518E41" w14:textId="7595E35D" w:rsidR="007F4791" w:rsidRPr="00A25F2C" w:rsidRDefault="007F4791" w:rsidP="004E1FA1">
            <w:pPr>
              <w:pStyle w:val="TableBodyText"/>
            </w:pPr>
            <w:r w:rsidRPr="00A25F2C">
              <w:t>to 2027-28</w:t>
            </w:r>
          </w:p>
        </w:tc>
        <w:tc>
          <w:tcPr>
            <w:tcW w:w="1128" w:type="pct"/>
          </w:tcPr>
          <w:p w14:paraId="6005BC84" w14:textId="77777777" w:rsidR="007F4791" w:rsidRPr="00A25F2C" w:rsidRDefault="007F4791" w:rsidP="004E1FA1">
            <w:pPr>
              <w:pStyle w:val="TableBodyText"/>
            </w:pPr>
            <w:r w:rsidRPr="00A25F2C">
              <w:t>2023-24 – CPI plus 0.36%</w:t>
            </w:r>
          </w:p>
          <w:p w14:paraId="571DFF2D" w14:textId="77777777" w:rsidR="007F4791" w:rsidRPr="00A25F2C" w:rsidRDefault="007F4791" w:rsidP="004E1FA1">
            <w:pPr>
              <w:pStyle w:val="TableBodyText"/>
            </w:pPr>
            <w:r w:rsidRPr="00A25F2C">
              <w:t>2024-25 – CPI plus 3.74%</w:t>
            </w:r>
          </w:p>
          <w:p w14:paraId="34D3386A" w14:textId="77777777" w:rsidR="007F4791" w:rsidRPr="00A25F2C" w:rsidRDefault="007F4791" w:rsidP="004E1FA1">
            <w:pPr>
              <w:pStyle w:val="TableBodyText"/>
            </w:pPr>
            <w:r w:rsidRPr="00A25F2C">
              <w:t>2025-26 – CPI plus 0.28%</w:t>
            </w:r>
          </w:p>
          <w:p w14:paraId="262816E5" w14:textId="77777777" w:rsidR="007F4791" w:rsidRPr="00A25F2C" w:rsidRDefault="007F4791" w:rsidP="004E1FA1">
            <w:pPr>
              <w:pStyle w:val="TableBodyText"/>
            </w:pPr>
            <w:r w:rsidRPr="00A25F2C">
              <w:t>2026-27 – CPI minus 1.11%</w:t>
            </w:r>
          </w:p>
          <w:p w14:paraId="6B03279B" w14:textId="77777777" w:rsidR="007F4791" w:rsidRPr="00A25F2C" w:rsidRDefault="007F4791" w:rsidP="004E1FA1">
            <w:pPr>
              <w:pStyle w:val="TableBodyText"/>
            </w:pPr>
            <w:r w:rsidRPr="00A25F2C">
              <w:t>2027-28 – CPI plus 1.32%</w:t>
            </w:r>
          </w:p>
        </w:tc>
        <w:tc>
          <w:tcPr>
            <w:tcW w:w="1982" w:type="pct"/>
          </w:tcPr>
          <w:p w14:paraId="73134C08" w14:textId="77777777" w:rsidR="007F4791" w:rsidRPr="00A25F2C" w:rsidRDefault="007F4791" w:rsidP="004E1FA1">
            <w:pPr>
              <w:pStyle w:val="TableBodyText"/>
            </w:pPr>
            <w:r w:rsidRPr="00A25F2C">
              <w:t>Prices based on following assumptions:</w:t>
            </w:r>
          </w:p>
          <w:p w14:paraId="4658D04F" w14:textId="0D23CF0B" w:rsidR="007F4791" w:rsidRPr="00A25F2C" w:rsidRDefault="007F4791" w:rsidP="004E1FA1">
            <w:pPr>
              <w:pStyle w:val="TableBodyText"/>
            </w:pPr>
            <w:r w:rsidRPr="00A25F2C">
              <w:t xml:space="preserve">2021 </w:t>
            </w:r>
            <w:proofErr w:type="gramStart"/>
            <w:r w:rsidRPr="00A25F2C">
              <w:t>5 year</w:t>
            </w:r>
            <w:proofErr w:type="gramEnd"/>
            <w:r w:rsidRPr="00A25F2C">
              <w:t xml:space="preserve"> Price Determination from the </w:t>
            </w:r>
            <w:r w:rsidR="001D7561">
              <w:t>Essential Services Commission</w:t>
            </w:r>
            <w:r w:rsidRPr="00A25F2C">
              <w:t xml:space="preserve"> plus 2026-27 &amp; 2027-28 price estimate.</w:t>
            </w:r>
          </w:p>
          <w:p w14:paraId="583C34D9" w14:textId="77777777" w:rsidR="007F4791" w:rsidRPr="00A25F2C" w:rsidRDefault="007F4791" w:rsidP="004E1FA1">
            <w:pPr>
              <w:pStyle w:val="TableBodyText"/>
            </w:pPr>
            <w:r w:rsidRPr="00A25F2C">
              <w:t>Desalination Plant contract costs provided by the Department of Environment, Land, Water and Planning (January 2023 schedule).</w:t>
            </w:r>
          </w:p>
          <w:p w14:paraId="18C453FB" w14:textId="77777777" w:rsidR="007F4791" w:rsidRPr="00A25F2C" w:rsidRDefault="007F4791" w:rsidP="004E1FA1">
            <w:pPr>
              <w:pStyle w:val="TableBodyText"/>
            </w:pPr>
            <w:r w:rsidRPr="00A25F2C">
              <w:t>Desalinated Water Order forecasts (refer Operating Expenditure Planning Assumptions).</w:t>
            </w:r>
          </w:p>
        </w:tc>
        <w:tc>
          <w:tcPr>
            <w:tcW w:w="1104" w:type="pct"/>
          </w:tcPr>
          <w:p w14:paraId="49036EAA" w14:textId="77777777" w:rsidR="007F4791" w:rsidRPr="00A25F2C" w:rsidRDefault="007F4791" w:rsidP="004E1FA1">
            <w:pPr>
              <w:pStyle w:val="TableBodyText"/>
            </w:pPr>
            <w:r w:rsidRPr="00A25F2C">
              <w:t>Variations to CPI and WACC.</w:t>
            </w:r>
          </w:p>
          <w:p w14:paraId="23B947CD" w14:textId="77777777" w:rsidR="007F4791" w:rsidRPr="00A25F2C" w:rsidRDefault="007F4791" w:rsidP="004E1FA1">
            <w:pPr>
              <w:pStyle w:val="TableBodyText"/>
            </w:pPr>
            <w:r w:rsidRPr="00A25F2C">
              <w:t>Variations to Desalinated Water Orders.</w:t>
            </w:r>
          </w:p>
        </w:tc>
      </w:tr>
      <w:tr w:rsidR="00143D6B" w:rsidRPr="00A25F2C" w14:paraId="6E6D058C" w14:textId="77777777" w:rsidTr="00671EDB">
        <w:trPr>
          <w:cantSplit/>
        </w:trPr>
        <w:tc>
          <w:tcPr>
            <w:tcW w:w="785" w:type="pct"/>
          </w:tcPr>
          <w:p w14:paraId="17592DE6" w14:textId="44314FCE" w:rsidR="007F4791" w:rsidRPr="00A25F2C" w:rsidRDefault="007F4791" w:rsidP="004E1FA1">
            <w:pPr>
              <w:pStyle w:val="TableBodyText"/>
            </w:pPr>
            <w:r w:rsidRPr="00A25F2C">
              <w:lastRenderedPageBreak/>
              <w:t>Waterways and drainage prices</w:t>
            </w:r>
          </w:p>
        </w:tc>
        <w:tc>
          <w:tcPr>
            <w:tcW w:w="1128" w:type="pct"/>
          </w:tcPr>
          <w:p w14:paraId="5342847B" w14:textId="77777777" w:rsidR="007F4791" w:rsidRPr="00A25F2C" w:rsidRDefault="007F4791" w:rsidP="004E1FA1">
            <w:pPr>
              <w:pStyle w:val="TableBodyText"/>
            </w:pPr>
            <w:r w:rsidRPr="00A25F2C">
              <w:t>Residential, Non-Residential Minimum &amp; Rural customers:</w:t>
            </w:r>
          </w:p>
          <w:p w14:paraId="39E137CE" w14:textId="77777777" w:rsidR="007F4791" w:rsidRPr="00A25F2C" w:rsidRDefault="007F4791" w:rsidP="004E1FA1">
            <w:pPr>
              <w:pStyle w:val="TableBodyText"/>
            </w:pPr>
            <w:r w:rsidRPr="00A25F2C">
              <w:t>2023-24 – CPI plus 0.71%</w:t>
            </w:r>
          </w:p>
          <w:p w14:paraId="10269A81" w14:textId="77777777" w:rsidR="007F4791" w:rsidRPr="00A25F2C" w:rsidRDefault="007F4791" w:rsidP="004E1FA1">
            <w:pPr>
              <w:pStyle w:val="TableBodyText"/>
            </w:pPr>
            <w:r w:rsidRPr="00A25F2C">
              <w:t>2024-25 – CPI minus 0.10%</w:t>
            </w:r>
          </w:p>
          <w:p w14:paraId="3401F0F9" w14:textId="77777777" w:rsidR="007F4791" w:rsidRPr="00A25F2C" w:rsidRDefault="007F4791" w:rsidP="004E1FA1">
            <w:pPr>
              <w:pStyle w:val="TableBodyText"/>
            </w:pPr>
            <w:r w:rsidRPr="00A25F2C">
              <w:t>2025-26 – CPI plus 0.65%</w:t>
            </w:r>
          </w:p>
          <w:p w14:paraId="49865D71" w14:textId="77777777" w:rsidR="007F4791" w:rsidRPr="00A25F2C" w:rsidRDefault="007F4791" w:rsidP="004E1FA1">
            <w:pPr>
              <w:pStyle w:val="TableBodyText"/>
            </w:pPr>
            <w:r w:rsidRPr="00A25F2C">
              <w:t>2026-27 – CPI plus 10.31%.</w:t>
            </w:r>
          </w:p>
          <w:p w14:paraId="42BBA1DA" w14:textId="77777777" w:rsidR="007F4791" w:rsidRPr="00A25F2C" w:rsidRDefault="007F4791" w:rsidP="004E1FA1">
            <w:pPr>
              <w:pStyle w:val="TableBodyText"/>
            </w:pPr>
            <w:r w:rsidRPr="00A25F2C">
              <w:t>2027-28 – CPI minus 0.01%</w:t>
            </w:r>
          </w:p>
          <w:p w14:paraId="333CEDF4" w14:textId="77777777" w:rsidR="007F4791" w:rsidRPr="00A25F2C" w:rsidRDefault="007F4791" w:rsidP="004E1FA1">
            <w:pPr>
              <w:pStyle w:val="TableBodyText"/>
            </w:pPr>
            <w:r w:rsidRPr="00A25F2C">
              <w:t>Non-residential customers above minimum: these customers are transitioning to the Non-Residential Minimum flat charge over the planning period</w:t>
            </w:r>
          </w:p>
        </w:tc>
        <w:tc>
          <w:tcPr>
            <w:tcW w:w="1982" w:type="pct"/>
          </w:tcPr>
          <w:p w14:paraId="2E332028" w14:textId="21EE23AE" w:rsidR="007F4791" w:rsidRPr="00A25F2C" w:rsidRDefault="007F4791" w:rsidP="004E1FA1">
            <w:pPr>
              <w:pStyle w:val="TableBodyText"/>
            </w:pPr>
            <w:r w:rsidRPr="00A25F2C">
              <w:t xml:space="preserve">2021 </w:t>
            </w:r>
            <w:proofErr w:type="gramStart"/>
            <w:r w:rsidRPr="00A25F2C">
              <w:t>5 year</w:t>
            </w:r>
            <w:proofErr w:type="gramEnd"/>
            <w:r w:rsidRPr="00A25F2C">
              <w:t xml:space="preserve"> Price Determination from the </w:t>
            </w:r>
            <w:r w:rsidR="001D7561">
              <w:t>Essential Services Commission</w:t>
            </w:r>
            <w:r w:rsidRPr="00A25F2C">
              <w:t xml:space="preserve"> (adjusted for forecast cost of debt) plus 2026-27 &amp; 2027-28 price estimate.</w:t>
            </w:r>
          </w:p>
        </w:tc>
        <w:tc>
          <w:tcPr>
            <w:tcW w:w="1104" w:type="pct"/>
          </w:tcPr>
          <w:p w14:paraId="6C03F222" w14:textId="77777777" w:rsidR="007F4791" w:rsidRPr="00A25F2C" w:rsidRDefault="007F4791" w:rsidP="004E1FA1">
            <w:pPr>
              <w:pStyle w:val="TableBodyText"/>
            </w:pPr>
            <w:r w:rsidRPr="00A25F2C">
              <w:t>Variations to CPI and WACC.</w:t>
            </w:r>
          </w:p>
        </w:tc>
      </w:tr>
      <w:tr w:rsidR="00143D6B" w:rsidRPr="00A25F2C" w14:paraId="27E78B26" w14:textId="77777777" w:rsidTr="00671EDB">
        <w:trPr>
          <w:cantSplit/>
        </w:trPr>
        <w:tc>
          <w:tcPr>
            <w:tcW w:w="785" w:type="pct"/>
          </w:tcPr>
          <w:p w14:paraId="6D43CFF0" w14:textId="77777777" w:rsidR="007F4791" w:rsidRPr="00A25F2C" w:rsidRDefault="007F4791" w:rsidP="004E1FA1">
            <w:pPr>
              <w:pStyle w:val="TableBodyText"/>
            </w:pPr>
            <w:r w:rsidRPr="00A25F2C">
              <w:t>Bulk water volume Bulk sewage volume</w:t>
            </w:r>
          </w:p>
          <w:p w14:paraId="5D8D0A3E" w14:textId="77777777" w:rsidR="007F4791" w:rsidRPr="00A25F2C" w:rsidRDefault="007F4791" w:rsidP="004E1FA1">
            <w:pPr>
              <w:pStyle w:val="TableBodyText"/>
            </w:pPr>
            <w:r w:rsidRPr="00A25F2C">
              <w:t>Number of properties</w:t>
            </w:r>
          </w:p>
        </w:tc>
        <w:tc>
          <w:tcPr>
            <w:tcW w:w="1128" w:type="pct"/>
          </w:tcPr>
          <w:p w14:paraId="69239C58" w14:textId="77777777" w:rsidR="007F4791" w:rsidRPr="00A25F2C" w:rsidRDefault="007F4791" w:rsidP="004E1FA1">
            <w:pPr>
              <w:pStyle w:val="TableBodyText"/>
            </w:pPr>
            <w:r w:rsidRPr="00A25F2C">
              <w:t>See Tables E6, F7 and F8</w:t>
            </w:r>
          </w:p>
        </w:tc>
        <w:tc>
          <w:tcPr>
            <w:tcW w:w="1982" w:type="pct"/>
          </w:tcPr>
          <w:p w14:paraId="1631DD73" w14:textId="77777777" w:rsidR="007F4791" w:rsidRPr="00A25F2C" w:rsidRDefault="007F4791" w:rsidP="004E1FA1">
            <w:pPr>
              <w:pStyle w:val="TableBodyText"/>
            </w:pPr>
            <w:r w:rsidRPr="00A25F2C">
              <w:t>2023-24 to 2027-28 Bulk water volumes based on retailer provided forecasts.</w:t>
            </w:r>
          </w:p>
          <w:p w14:paraId="12093376" w14:textId="5FF06A78" w:rsidR="007F4791" w:rsidRPr="00A25F2C" w:rsidRDefault="007F4791" w:rsidP="004E1FA1">
            <w:pPr>
              <w:pStyle w:val="TableBodyText"/>
            </w:pPr>
            <w:r w:rsidRPr="00A25F2C">
              <w:t xml:space="preserve">2023-24 to 2027-28 Bulk sewerage volumes aligned to 2021 </w:t>
            </w:r>
            <w:r w:rsidR="001D7561">
              <w:t>Essential Services Commission</w:t>
            </w:r>
            <w:r w:rsidRPr="00A25F2C">
              <w:t xml:space="preserve"> Price Determination.</w:t>
            </w:r>
          </w:p>
          <w:p w14:paraId="0607EF91" w14:textId="77777777" w:rsidR="007F4791" w:rsidRPr="00A25F2C" w:rsidRDefault="007F4791" w:rsidP="004E1FA1">
            <w:pPr>
              <w:pStyle w:val="TableBodyText"/>
            </w:pPr>
            <w:r w:rsidRPr="00A25F2C">
              <w:t>2023-24 to 2027-28 Number of properties based on current actual customer numbers reported by retailers and forward Victoria in Future (VIF) 2022 household growth projections.</w:t>
            </w:r>
          </w:p>
        </w:tc>
        <w:tc>
          <w:tcPr>
            <w:tcW w:w="1104" w:type="pct"/>
          </w:tcPr>
          <w:p w14:paraId="7ACD0FE4" w14:textId="77777777" w:rsidR="007F4791" w:rsidRPr="00A25F2C" w:rsidRDefault="007F4791" w:rsidP="004E1FA1">
            <w:pPr>
              <w:pStyle w:val="TableBodyText"/>
            </w:pPr>
            <w:r w:rsidRPr="00A25F2C">
              <w:t>Water restrictions, industry closures, changes in population growth.</w:t>
            </w:r>
          </w:p>
        </w:tc>
      </w:tr>
      <w:tr w:rsidR="00143D6B" w:rsidRPr="00A25F2C" w14:paraId="76CAF123" w14:textId="77777777" w:rsidTr="00671EDB">
        <w:trPr>
          <w:cantSplit/>
        </w:trPr>
        <w:tc>
          <w:tcPr>
            <w:tcW w:w="785" w:type="pct"/>
          </w:tcPr>
          <w:p w14:paraId="78D20B3D" w14:textId="77777777" w:rsidR="007F4791" w:rsidRPr="00A25F2C" w:rsidRDefault="007F4791" w:rsidP="004E1FA1">
            <w:pPr>
              <w:pStyle w:val="TableBodyText"/>
            </w:pPr>
            <w:r w:rsidRPr="00A25F2C">
              <w:t>Developer Contributions</w:t>
            </w:r>
          </w:p>
        </w:tc>
        <w:tc>
          <w:tcPr>
            <w:tcW w:w="1128" w:type="pct"/>
          </w:tcPr>
          <w:p w14:paraId="2D062C95" w14:textId="327F61EF" w:rsidR="007F4791" w:rsidRPr="00A25F2C" w:rsidRDefault="00995D31" w:rsidP="007F4791">
            <w:pPr>
              <w:spacing w:before="0" w:after="0"/>
            </w:pPr>
            <w:r>
              <w:t>N/A</w:t>
            </w:r>
          </w:p>
        </w:tc>
        <w:tc>
          <w:tcPr>
            <w:tcW w:w="1982" w:type="pct"/>
          </w:tcPr>
          <w:p w14:paraId="60E908B3" w14:textId="77777777" w:rsidR="007F4791" w:rsidRPr="00A25F2C" w:rsidRDefault="007F4791" w:rsidP="004E1FA1">
            <w:pPr>
              <w:pStyle w:val="TableBodyText"/>
            </w:pPr>
            <w:r w:rsidRPr="00A25F2C">
              <w:t>Based on Melbourne Water analysis.</w:t>
            </w:r>
          </w:p>
        </w:tc>
        <w:tc>
          <w:tcPr>
            <w:tcW w:w="1104" w:type="pct"/>
          </w:tcPr>
          <w:p w14:paraId="66FF9A2F" w14:textId="43C48109" w:rsidR="007F4791" w:rsidRPr="00A25F2C" w:rsidRDefault="00995D31" w:rsidP="004E1FA1">
            <w:pPr>
              <w:pStyle w:val="TableBodyText"/>
            </w:pPr>
            <w:r>
              <w:t>N/A</w:t>
            </w:r>
          </w:p>
        </w:tc>
      </w:tr>
      <w:tr w:rsidR="00671EDB" w:rsidRPr="00A25F2C" w14:paraId="0A8C5CE4" w14:textId="77777777" w:rsidTr="00671EDB">
        <w:trPr>
          <w:cantSplit/>
        </w:trPr>
        <w:tc>
          <w:tcPr>
            <w:tcW w:w="785" w:type="pct"/>
          </w:tcPr>
          <w:p w14:paraId="6291B36A" w14:textId="77777777" w:rsidR="00671EDB" w:rsidRPr="00A25F2C" w:rsidRDefault="00671EDB" w:rsidP="004E1FA1">
            <w:pPr>
              <w:pStyle w:val="TableBodyText"/>
            </w:pPr>
            <w:r w:rsidRPr="00A25F2C">
              <w:t>Recycled water prices</w:t>
            </w:r>
          </w:p>
        </w:tc>
        <w:tc>
          <w:tcPr>
            <w:tcW w:w="1128" w:type="pct"/>
          </w:tcPr>
          <w:p w14:paraId="0C44F068" w14:textId="77777777" w:rsidR="00671EDB" w:rsidRPr="00A25F2C" w:rsidRDefault="00671EDB" w:rsidP="004E1FA1">
            <w:pPr>
              <w:pStyle w:val="TableBodyText"/>
            </w:pPr>
            <w:r w:rsidRPr="00A25F2C">
              <w:t>Customer specific contracts</w:t>
            </w:r>
          </w:p>
        </w:tc>
        <w:tc>
          <w:tcPr>
            <w:tcW w:w="1982" w:type="pct"/>
          </w:tcPr>
          <w:p w14:paraId="0A9CD256" w14:textId="1126E14C" w:rsidR="00671EDB" w:rsidRPr="00A25F2C" w:rsidRDefault="00995D31" w:rsidP="004E1FA1">
            <w:pPr>
              <w:pStyle w:val="TableBodyText"/>
            </w:pPr>
            <w:r>
              <w:t>N/A</w:t>
            </w:r>
          </w:p>
        </w:tc>
        <w:tc>
          <w:tcPr>
            <w:tcW w:w="1104" w:type="pct"/>
          </w:tcPr>
          <w:p w14:paraId="3D3DE524" w14:textId="11C9D710" w:rsidR="00671EDB" w:rsidRPr="00A25F2C" w:rsidRDefault="00995D31" w:rsidP="004E1FA1">
            <w:pPr>
              <w:pStyle w:val="TableBodyText"/>
            </w:pPr>
            <w:r>
              <w:t>N/A</w:t>
            </w:r>
          </w:p>
        </w:tc>
      </w:tr>
    </w:tbl>
    <w:p w14:paraId="4A81BC8C" w14:textId="7C664DFE" w:rsidR="00143D6B" w:rsidRDefault="00E97A23" w:rsidP="00E97A23">
      <w:pPr>
        <w:pStyle w:val="Caption"/>
      </w:pPr>
      <w:r w:rsidRPr="00E97A23">
        <w:t>Table E3 – Operating expenditure planning assumptions</w:t>
      </w:r>
    </w:p>
    <w:tbl>
      <w:tblPr>
        <w:tblStyle w:val="TableProfessional"/>
        <w:tblW w:w="5000" w:type="pct"/>
        <w:tblLook w:val="0620" w:firstRow="1" w:lastRow="0" w:firstColumn="0" w:lastColumn="0" w:noHBand="1" w:noVBand="1"/>
      </w:tblPr>
      <w:tblGrid>
        <w:gridCol w:w="1583"/>
        <w:gridCol w:w="2048"/>
        <w:gridCol w:w="3708"/>
        <w:gridCol w:w="2292"/>
      </w:tblGrid>
      <w:tr w:rsidR="00143D6B" w:rsidRPr="00A25F2C" w14:paraId="4D941D4E" w14:textId="77777777" w:rsidTr="0086694E">
        <w:trPr>
          <w:cnfStyle w:val="100000000000" w:firstRow="1" w:lastRow="0" w:firstColumn="0" w:lastColumn="0" w:oddVBand="0" w:evenVBand="0" w:oddHBand="0" w:evenHBand="0" w:firstRowFirstColumn="0" w:firstRowLastColumn="0" w:lastRowFirstColumn="0" w:lastRowLastColumn="0"/>
          <w:cantSplit/>
        </w:trPr>
        <w:tc>
          <w:tcPr>
            <w:tcW w:w="822" w:type="pct"/>
          </w:tcPr>
          <w:p w14:paraId="254D8AFB" w14:textId="77777777" w:rsidR="007F4791" w:rsidRPr="00A25F2C" w:rsidRDefault="007F4791" w:rsidP="004E1FA1">
            <w:pPr>
              <w:pStyle w:val="TableBodyText"/>
            </w:pPr>
            <w:r w:rsidRPr="00A25F2C">
              <w:t>Planning Parameter</w:t>
            </w:r>
          </w:p>
        </w:tc>
        <w:tc>
          <w:tcPr>
            <w:tcW w:w="1063" w:type="pct"/>
          </w:tcPr>
          <w:p w14:paraId="2AD98312" w14:textId="77777777" w:rsidR="007F4791" w:rsidRPr="00A25F2C" w:rsidRDefault="007F4791" w:rsidP="004E1FA1">
            <w:pPr>
              <w:pStyle w:val="TableBodyText"/>
            </w:pPr>
            <w:r w:rsidRPr="00A25F2C">
              <w:t>Value</w:t>
            </w:r>
          </w:p>
        </w:tc>
        <w:tc>
          <w:tcPr>
            <w:tcW w:w="1925" w:type="pct"/>
          </w:tcPr>
          <w:p w14:paraId="758612BE" w14:textId="77777777" w:rsidR="007F4791" w:rsidRPr="00A25F2C" w:rsidRDefault="007F4791" w:rsidP="004E1FA1">
            <w:pPr>
              <w:pStyle w:val="TableBodyText"/>
            </w:pPr>
            <w:r w:rsidRPr="00A25F2C">
              <w:t>Source</w:t>
            </w:r>
          </w:p>
        </w:tc>
        <w:tc>
          <w:tcPr>
            <w:tcW w:w="1190" w:type="pct"/>
          </w:tcPr>
          <w:p w14:paraId="3389EE9F" w14:textId="77777777" w:rsidR="007F4791" w:rsidRPr="00A25F2C" w:rsidRDefault="007F4791" w:rsidP="004E1FA1">
            <w:pPr>
              <w:pStyle w:val="TableBodyText"/>
            </w:pPr>
            <w:r w:rsidRPr="00A25F2C">
              <w:t>Sensitivity/Exceptions</w:t>
            </w:r>
          </w:p>
        </w:tc>
      </w:tr>
      <w:tr w:rsidR="00143D6B" w:rsidRPr="00A25F2C" w14:paraId="7291C482" w14:textId="77777777" w:rsidTr="0086694E">
        <w:trPr>
          <w:cantSplit/>
        </w:trPr>
        <w:tc>
          <w:tcPr>
            <w:tcW w:w="822" w:type="pct"/>
          </w:tcPr>
          <w:p w14:paraId="4635277B" w14:textId="77777777" w:rsidR="007F4791" w:rsidRPr="00A25F2C" w:rsidRDefault="007F4791" w:rsidP="004E1FA1">
            <w:pPr>
              <w:pStyle w:val="TableBodyText"/>
            </w:pPr>
            <w:r w:rsidRPr="00A25F2C">
              <w:t>Labour Wages Price Index</w:t>
            </w:r>
          </w:p>
        </w:tc>
        <w:tc>
          <w:tcPr>
            <w:tcW w:w="1063" w:type="pct"/>
          </w:tcPr>
          <w:p w14:paraId="10C5EC94" w14:textId="77777777" w:rsidR="007F4791" w:rsidRPr="00A25F2C" w:rsidRDefault="007F4791" w:rsidP="004E1FA1">
            <w:pPr>
              <w:pStyle w:val="TableBodyText"/>
            </w:pPr>
            <w:r w:rsidRPr="00A25F2C">
              <w:t>2023-24 to 2027-28 – 3.0%</w:t>
            </w:r>
          </w:p>
        </w:tc>
        <w:tc>
          <w:tcPr>
            <w:tcW w:w="1925" w:type="pct"/>
          </w:tcPr>
          <w:p w14:paraId="1411AA6F" w14:textId="77777777" w:rsidR="007F4791" w:rsidRPr="00A25F2C" w:rsidRDefault="007F4791" w:rsidP="004E1FA1">
            <w:pPr>
              <w:pStyle w:val="TableBodyText"/>
            </w:pPr>
            <w:r w:rsidRPr="00A25F2C">
              <w:t>Melbourne Water Enterprise Agreement and the Victorian Independent Remuneration Tribunal (VIRT).</w:t>
            </w:r>
          </w:p>
        </w:tc>
        <w:tc>
          <w:tcPr>
            <w:tcW w:w="1190" w:type="pct"/>
          </w:tcPr>
          <w:p w14:paraId="04C41CCE" w14:textId="128740A9" w:rsidR="007F4791" w:rsidRPr="00A25F2C" w:rsidRDefault="00995D31" w:rsidP="004E1FA1">
            <w:pPr>
              <w:pStyle w:val="TableBodyText"/>
            </w:pPr>
            <w:r>
              <w:t>N/A</w:t>
            </w:r>
          </w:p>
        </w:tc>
      </w:tr>
      <w:tr w:rsidR="00143D6B" w:rsidRPr="00A25F2C" w14:paraId="6738CDDE" w14:textId="77777777" w:rsidTr="0086694E">
        <w:trPr>
          <w:cantSplit/>
        </w:trPr>
        <w:tc>
          <w:tcPr>
            <w:tcW w:w="822" w:type="pct"/>
          </w:tcPr>
          <w:p w14:paraId="16B6C43C" w14:textId="77777777" w:rsidR="007F4791" w:rsidRPr="00A25F2C" w:rsidRDefault="007F4791" w:rsidP="004E1FA1">
            <w:pPr>
              <w:pStyle w:val="TableBodyText"/>
            </w:pPr>
            <w:r w:rsidRPr="00A25F2C">
              <w:t>Super Guaranteed Contribution Rate</w:t>
            </w:r>
          </w:p>
        </w:tc>
        <w:tc>
          <w:tcPr>
            <w:tcW w:w="1063" w:type="pct"/>
          </w:tcPr>
          <w:p w14:paraId="7C92F7C7" w14:textId="77777777" w:rsidR="007F4791" w:rsidRPr="00A25F2C" w:rsidRDefault="007F4791" w:rsidP="004E1FA1">
            <w:pPr>
              <w:pStyle w:val="TableBodyText"/>
            </w:pPr>
            <w:r w:rsidRPr="00A25F2C">
              <w:t>2023-24 – 11.0%</w:t>
            </w:r>
          </w:p>
          <w:p w14:paraId="2D388029" w14:textId="77777777" w:rsidR="007F4791" w:rsidRPr="00A25F2C" w:rsidRDefault="007F4791" w:rsidP="004E1FA1">
            <w:pPr>
              <w:pStyle w:val="TableBodyText"/>
            </w:pPr>
            <w:r w:rsidRPr="00A25F2C">
              <w:t>2024-25 – 11.5%</w:t>
            </w:r>
          </w:p>
          <w:p w14:paraId="6B9969E7" w14:textId="77777777" w:rsidR="007F4791" w:rsidRPr="00A25F2C" w:rsidRDefault="007F4791" w:rsidP="004E1FA1">
            <w:pPr>
              <w:pStyle w:val="TableBodyText"/>
            </w:pPr>
            <w:r w:rsidRPr="00A25F2C">
              <w:t>2025-26 – 12.0%</w:t>
            </w:r>
          </w:p>
          <w:p w14:paraId="7780A7EB" w14:textId="77777777" w:rsidR="007F4791" w:rsidRPr="00A25F2C" w:rsidRDefault="007F4791" w:rsidP="004E1FA1">
            <w:pPr>
              <w:pStyle w:val="TableBodyText"/>
            </w:pPr>
            <w:r w:rsidRPr="00A25F2C">
              <w:t>2026-27 – 12.0%</w:t>
            </w:r>
          </w:p>
          <w:p w14:paraId="1DB6DCE2" w14:textId="77777777" w:rsidR="007F4791" w:rsidRPr="00A25F2C" w:rsidRDefault="007F4791" w:rsidP="004E1FA1">
            <w:pPr>
              <w:pStyle w:val="TableBodyText"/>
            </w:pPr>
            <w:r w:rsidRPr="00A25F2C">
              <w:t>2027-28 – 12.0%</w:t>
            </w:r>
          </w:p>
        </w:tc>
        <w:tc>
          <w:tcPr>
            <w:tcW w:w="1925" w:type="pct"/>
          </w:tcPr>
          <w:p w14:paraId="5D7B6978" w14:textId="77777777" w:rsidR="007F4791" w:rsidRPr="00A25F2C" w:rsidRDefault="007F4791" w:rsidP="004E1FA1">
            <w:pPr>
              <w:pStyle w:val="TableBodyText"/>
            </w:pPr>
            <w:r w:rsidRPr="00A25F2C">
              <w:t>Superannuation Legislation.</w:t>
            </w:r>
          </w:p>
        </w:tc>
        <w:tc>
          <w:tcPr>
            <w:tcW w:w="1190" w:type="pct"/>
          </w:tcPr>
          <w:p w14:paraId="628A1AF3" w14:textId="43EEE3B3" w:rsidR="007F4791" w:rsidRPr="00A25F2C" w:rsidRDefault="00995D31" w:rsidP="004E1FA1">
            <w:pPr>
              <w:pStyle w:val="TableBodyText"/>
            </w:pPr>
            <w:r>
              <w:t>N/A</w:t>
            </w:r>
          </w:p>
        </w:tc>
      </w:tr>
      <w:tr w:rsidR="00143D6B" w:rsidRPr="00A25F2C" w14:paraId="2133807E" w14:textId="77777777" w:rsidTr="0086694E">
        <w:trPr>
          <w:cantSplit/>
        </w:trPr>
        <w:tc>
          <w:tcPr>
            <w:tcW w:w="822" w:type="pct"/>
          </w:tcPr>
          <w:p w14:paraId="093EA594" w14:textId="77777777" w:rsidR="007F4791" w:rsidRPr="00A25F2C" w:rsidRDefault="007F4791" w:rsidP="004E1FA1">
            <w:pPr>
              <w:pStyle w:val="TableBodyText"/>
            </w:pPr>
            <w:r w:rsidRPr="00A25F2C">
              <w:t>Defined Benefit Superannuation Fund contribution</w:t>
            </w:r>
          </w:p>
        </w:tc>
        <w:tc>
          <w:tcPr>
            <w:tcW w:w="1063" w:type="pct"/>
          </w:tcPr>
          <w:p w14:paraId="40C98A77" w14:textId="77777777" w:rsidR="007F4791" w:rsidRPr="00A25F2C" w:rsidRDefault="007F4791" w:rsidP="004E1FA1">
            <w:pPr>
              <w:pStyle w:val="TableBodyText"/>
            </w:pPr>
            <w:r w:rsidRPr="00A25F2C">
              <w:t>0%</w:t>
            </w:r>
          </w:p>
        </w:tc>
        <w:tc>
          <w:tcPr>
            <w:tcW w:w="1925" w:type="pct"/>
          </w:tcPr>
          <w:p w14:paraId="0ED1BF2A" w14:textId="77777777" w:rsidR="007F4791" w:rsidRPr="00A25F2C" w:rsidRDefault="007F4791" w:rsidP="004E1FA1">
            <w:pPr>
              <w:pStyle w:val="TableBodyText"/>
            </w:pPr>
            <w:r w:rsidRPr="00A25F2C">
              <w:t xml:space="preserve">Actuarial valuation as </w:t>
            </w:r>
            <w:proofErr w:type="gramStart"/>
            <w:r w:rsidRPr="00A25F2C">
              <w:t>at</w:t>
            </w:r>
            <w:proofErr w:type="gramEnd"/>
            <w:r w:rsidRPr="00A25F2C">
              <w:t xml:space="preserve"> 30 June 2022.</w:t>
            </w:r>
          </w:p>
          <w:p w14:paraId="1F9F701F" w14:textId="77777777" w:rsidR="007F4791" w:rsidRPr="00A25F2C" w:rsidRDefault="007F4791" w:rsidP="004E1FA1">
            <w:pPr>
              <w:pStyle w:val="TableBodyText"/>
            </w:pPr>
            <w:r w:rsidRPr="00A25F2C">
              <w:t>This assumption continued for entire planning period.</w:t>
            </w:r>
          </w:p>
        </w:tc>
        <w:tc>
          <w:tcPr>
            <w:tcW w:w="1190" w:type="pct"/>
          </w:tcPr>
          <w:p w14:paraId="429D2223" w14:textId="77777777" w:rsidR="007F4791" w:rsidRPr="00A25F2C" w:rsidRDefault="007F4791" w:rsidP="004E1FA1">
            <w:pPr>
              <w:pStyle w:val="TableBodyText"/>
            </w:pPr>
            <w:r w:rsidRPr="00A25F2C">
              <w:t>Volatility in the stock market.</w:t>
            </w:r>
          </w:p>
        </w:tc>
      </w:tr>
      <w:tr w:rsidR="00143D6B" w:rsidRPr="00A25F2C" w14:paraId="06C357AC" w14:textId="77777777" w:rsidTr="0086694E">
        <w:trPr>
          <w:cantSplit/>
        </w:trPr>
        <w:tc>
          <w:tcPr>
            <w:tcW w:w="822" w:type="pct"/>
          </w:tcPr>
          <w:p w14:paraId="2B62F242" w14:textId="77777777" w:rsidR="007F4791" w:rsidRPr="00A25F2C" w:rsidRDefault="007F4791" w:rsidP="004E1FA1">
            <w:pPr>
              <w:pStyle w:val="TableBodyText"/>
            </w:pPr>
            <w:r w:rsidRPr="00A25F2C">
              <w:lastRenderedPageBreak/>
              <w:t>Desalinated volumes</w:t>
            </w:r>
          </w:p>
        </w:tc>
        <w:tc>
          <w:tcPr>
            <w:tcW w:w="1063" w:type="pct"/>
          </w:tcPr>
          <w:p w14:paraId="0DF4965C" w14:textId="77777777" w:rsidR="007F4791" w:rsidRPr="00A25F2C" w:rsidRDefault="007F4791" w:rsidP="004E1FA1">
            <w:pPr>
              <w:pStyle w:val="TableBodyText"/>
            </w:pPr>
            <w:r w:rsidRPr="00A25F2C">
              <w:t>2023-24 – 0 GL</w:t>
            </w:r>
          </w:p>
          <w:p w14:paraId="7B390CBA" w14:textId="77777777" w:rsidR="007F4791" w:rsidRPr="00A25F2C" w:rsidRDefault="007F4791" w:rsidP="004E1FA1">
            <w:pPr>
              <w:pStyle w:val="TableBodyText"/>
            </w:pPr>
            <w:r w:rsidRPr="00A25F2C">
              <w:t>2024-25 – 50 GL</w:t>
            </w:r>
          </w:p>
          <w:p w14:paraId="3606813D" w14:textId="77777777" w:rsidR="007F4791" w:rsidRDefault="007F4791" w:rsidP="004E1FA1">
            <w:pPr>
              <w:pStyle w:val="TableBodyText"/>
            </w:pPr>
            <w:r w:rsidRPr="00A25F2C">
              <w:t>2025-26 – 75 GL</w:t>
            </w:r>
          </w:p>
          <w:p w14:paraId="3A93ACE4" w14:textId="77777777" w:rsidR="0086694E" w:rsidRPr="0086694E" w:rsidRDefault="0086694E" w:rsidP="0086694E">
            <w:pPr>
              <w:pStyle w:val="TableBodyText"/>
              <w:spacing w:line="240" w:lineRule="auto"/>
            </w:pPr>
            <w:r w:rsidRPr="0086694E">
              <w:t>2026-27 – 75 GL</w:t>
            </w:r>
          </w:p>
          <w:p w14:paraId="56AA3C72" w14:textId="4E5C816A" w:rsidR="0086694E" w:rsidRPr="00A25F2C" w:rsidRDefault="0086694E" w:rsidP="0086694E">
            <w:pPr>
              <w:pStyle w:val="TableBodyText"/>
            </w:pPr>
            <w:r w:rsidRPr="0086694E">
              <w:t>2027-28 – 75 GL</w:t>
            </w:r>
          </w:p>
        </w:tc>
        <w:tc>
          <w:tcPr>
            <w:tcW w:w="1925" w:type="pct"/>
          </w:tcPr>
          <w:p w14:paraId="66D26259" w14:textId="77777777" w:rsidR="007F4791" w:rsidRPr="00A25F2C" w:rsidRDefault="007F4791" w:rsidP="004E1FA1">
            <w:pPr>
              <w:pStyle w:val="TableBodyText"/>
            </w:pPr>
            <w:r w:rsidRPr="00A25F2C">
              <w:t>Desalinated Water Order.</w:t>
            </w:r>
          </w:p>
        </w:tc>
        <w:tc>
          <w:tcPr>
            <w:tcW w:w="1190" w:type="pct"/>
          </w:tcPr>
          <w:p w14:paraId="1E777BE7" w14:textId="25789DD9" w:rsidR="0086694E" w:rsidRDefault="0086694E" w:rsidP="0086694E">
            <w:pPr>
              <w:pStyle w:val="TableBodyText"/>
            </w:pPr>
            <w:r w:rsidRPr="0086694E">
              <w:t>Variations to future</w:t>
            </w:r>
            <w:r>
              <w:t xml:space="preserve"> </w:t>
            </w:r>
            <w:r w:rsidRPr="0086694E">
              <w:t>Desalinated Water</w:t>
            </w:r>
            <w:r>
              <w:t xml:space="preserve"> </w:t>
            </w:r>
            <w:r w:rsidRPr="0086694E">
              <w:t>Orders.</w:t>
            </w:r>
          </w:p>
          <w:p w14:paraId="3013E84B" w14:textId="665A885F" w:rsidR="007F4791" w:rsidRPr="00A25F2C" w:rsidRDefault="007F4791" w:rsidP="0086694E">
            <w:pPr>
              <w:pStyle w:val="TableBodyText"/>
            </w:pPr>
            <w:r w:rsidRPr="00A25F2C">
              <w:t>Minister for Water to announce the annual commitment by 1 April each year, based on</w:t>
            </w:r>
            <w:r w:rsidR="0086694E">
              <w:t xml:space="preserve"> </w:t>
            </w:r>
            <w:r w:rsidR="0086694E" w:rsidRPr="0086694E">
              <w:t>the water resources</w:t>
            </w:r>
            <w:r w:rsidR="0086694E">
              <w:t xml:space="preserve"> </w:t>
            </w:r>
            <w:r w:rsidR="0086694E" w:rsidRPr="0086694E">
              <w:t>conditions at the</w:t>
            </w:r>
            <w:r w:rsidR="0086694E">
              <w:t xml:space="preserve"> </w:t>
            </w:r>
            <w:r w:rsidR="0086694E" w:rsidRPr="0086694E">
              <w:t>time, with advice from</w:t>
            </w:r>
            <w:r w:rsidR="0086694E">
              <w:t xml:space="preserve"> </w:t>
            </w:r>
            <w:r w:rsidR="0086694E" w:rsidRPr="0086694E">
              <w:t>Melbourne Water</w:t>
            </w:r>
            <w:r w:rsidR="0086694E">
              <w:t xml:space="preserve"> </w:t>
            </w:r>
            <w:r w:rsidR="0086694E" w:rsidRPr="0086694E">
              <w:t>and the Metropolitan</w:t>
            </w:r>
            <w:r w:rsidR="0086694E">
              <w:t xml:space="preserve"> </w:t>
            </w:r>
            <w:r w:rsidR="0086694E" w:rsidRPr="0086694E">
              <w:t>Retailers.</w:t>
            </w:r>
          </w:p>
        </w:tc>
      </w:tr>
      <w:tr w:rsidR="00143D6B" w:rsidRPr="00A25F2C" w14:paraId="5819B4E6" w14:textId="77777777" w:rsidTr="0086694E">
        <w:trPr>
          <w:cantSplit/>
        </w:trPr>
        <w:tc>
          <w:tcPr>
            <w:tcW w:w="822" w:type="pct"/>
          </w:tcPr>
          <w:p w14:paraId="0B47F6EB" w14:textId="77777777" w:rsidR="007F4791" w:rsidRPr="00A25F2C" w:rsidRDefault="007F4791" w:rsidP="004E1FA1">
            <w:pPr>
              <w:pStyle w:val="TableBodyText"/>
            </w:pPr>
            <w:r w:rsidRPr="00A25F2C">
              <w:t>Average Electricity Price</w:t>
            </w:r>
          </w:p>
        </w:tc>
        <w:tc>
          <w:tcPr>
            <w:tcW w:w="1063" w:type="pct"/>
          </w:tcPr>
          <w:p w14:paraId="1D306CDD" w14:textId="48ECDDA1" w:rsidR="007F4791" w:rsidRPr="00A25F2C" w:rsidRDefault="007F4791" w:rsidP="0086694E">
            <w:pPr>
              <w:pStyle w:val="TableBodyText"/>
            </w:pPr>
            <w:r w:rsidRPr="00A25F2C">
              <w:t>$187/MWh in 2023-24 to</w:t>
            </w:r>
            <w:r w:rsidR="0086694E">
              <w:t xml:space="preserve"> </w:t>
            </w:r>
            <w:r w:rsidRPr="00A25F2C">
              <w:t>$188/MWh in 2025-26</w:t>
            </w:r>
          </w:p>
        </w:tc>
        <w:tc>
          <w:tcPr>
            <w:tcW w:w="1925" w:type="pct"/>
          </w:tcPr>
          <w:p w14:paraId="65CD0A63" w14:textId="77777777" w:rsidR="007F4791" w:rsidRPr="00A25F2C" w:rsidRDefault="007F4791" w:rsidP="004E1FA1">
            <w:pPr>
              <w:pStyle w:val="TableBodyText"/>
            </w:pPr>
            <w:r w:rsidRPr="00A25F2C">
              <w:t>Melbourne Water Energy Contracts.</w:t>
            </w:r>
          </w:p>
        </w:tc>
        <w:tc>
          <w:tcPr>
            <w:tcW w:w="1190" w:type="pct"/>
          </w:tcPr>
          <w:p w14:paraId="06146956" w14:textId="6E5AC0E7" w:rsidR="007F4791" w:rsidRPr="00A25F2C" w:rsidRDefault="00995D31" w:rsidP="004E1FA1">
            <w:pPr>
              <w:pStyle w:val="TableBodyText"/>
            </w:pPr>
            <w:r>
              <w:t>N/A</w:t>
            </w:r>
          </w:p>
        </w:tc>
      </w:tr>
      <w:tr w:rsidR="00143D6B" w:rsidRPr="00A25F2C" w14:paraId="575CED97" w14:textId="77777777" w:rsidTr="0086694E">
        <w:trPr>
          <w:cantSplit/>
        </w:trPr>
        <w:tc>
          <w:tcPr>
            <w:tcW w:w="822" w:type="pct"/>
          </w:tcPr>
          <w:p w14:paraId="74E0244A" w14:textId="77777777" w:rsidR="007F4791" w:rsidRPr="00A25F2C" w:rsidRDefault="007F4791" w:rsidP="004E1FA1">
            <w:pPr>
              <w:pStyle w:val="TableBodyText"/>
            </w:pPr>
            <w:r w:rsidRPr="00A25F2C">
              <w:t>Australian Carbon Credit Units (ACCUs)</w:t>
            </w:r>
          </w:p>
        </w:tc>
        <w:tc>
          <w:tcPr>
            <w:tcW w:w="1063" w:type="pct"/>
          </w:tcPr>
          <w:p w14:paraId="55DD23E4" w14:textId="77777777" w:rsidR="007F4791" w:rsidRPr="00A25F2C" w:rsidRDefault="007F4791" w:rsidP="004E1FA1">
            <w:pPr>
              <w:pStyle w:val="TableBodyText"/>
            </w:pPr>
            <w:r w:rsidRPr="00A25F2C">
              <w:t>2023-24 – 133,800</w:t>
            </w:r>
          </w:p>
          <w:p w14:paraId="1FB6C928" w14:textId="77777777" w:rsidR="007F4791" w:rsidRPr="00A25F2C" w:rsidRDefault="007F4791" w:rsidP="004E1FA1">
            <w:pPr>
              <w:pStyle w:val="TableBodyText"/>
            </w:pPr>
            <w:r w:rsidRPr="00A25F2C">
              <w:t>2024-25 – 127,800</w:t>
            </w:r>
          </w:p>
          <w:p w14:paraId="424FC984" w14:textId="77777777" w:rsidR="007F4791" w:rsidRPr="00A25F2C" w:rsidRDefault="007F4791" w:rsidP="004E1FA1">
            <w:pPr>
              <w:pStyle w:val="TableBodyText"/>
            </w:pPr>
            <w:r w:rsidRPr="00A25F2C">
              <w:t>2025-26 – 192,200</w:t>
            </w:r>
          </w:p>
          <w:p w14:paraId="09F29975" w14:textId="77777777" w:rsidR="007F4791" w:rsidRPr="00A25F2C" w:rsidRDefault="007F4791" w:rsidP="004E1FA1">
            <w:pPr>
              <w:pStyle w:val="TableBodyText"/>
            </w:pPr>
            <w:r w:rsidRPr="00A25F2C">
              <w:t>2026-27 – 88,400</w:t>
            </w:r>
          </w:p>
          <w:p w14:paraId="3AF5E270" w14:textId="77777777" w:rsidR="007F4791" w:rsidRPr="00A25F2C" w:rsidRDefault="007F4791" w:rsidP="004E1FA1">
            <w:pPr>
              <w:pStyle w:val="TableBodyText"/>
            </w:pPr>
            <w:r w:rsidRPr="00A25F2C">
              <w:t>2027-28 – 94,800</w:t>
            </w:r>
          </w:p>
        </w:tc>
        <w:tc>
          <w:tcPr>
            <w:tcW w:w="1925" w:type="pct"/>
          </w:tcPr>
          <w:p w14:paraId="4C7A5179" w14:textId="77777777" w:rsidR="007F4791" w:rsidRPr="00A25F2C" w:rsidRDefault="007F4791" w:rsidP="004E1FA1">
            <w:pPr>
              <w:pStyle w:val="TableBodyText"/>
            </w:pPr>
            <w:r w:rsidRPr="00A25F2C">
              <w:t>Based on Melbourne Water analysis.</w:t>
            </w:r>
          </w:p>
        </w:tc>
        <w:tc>
          <w:tcPr>
            <w:tcW w:w="1190" w:type="pct"/>
          </w:tcPr>
          <w:p w14:paraId="0B9467C0" w14:textId="6FF57279" w:rsidR="007F4791" w:rsidRPr="00A25F2C" w:rsidRDefault="00995D31" w:rsidP="004E1FA1">
            <w:pPr>
              <w:pStyle w:val="TableBodyText"/>
            </w:pPr>
            <w:r>
              <w:t>N/A</w:t>
            </w:r>
          </w:p>
        </w:tc>
      </w:tr>
    </w:tbl>
    <w:p w14:paraId="0D5C2A15" w14:textId="2123E729" w:rsidR="007F4791" w:rsidRPr="00A25F2C" w:rsidRDefault="00E97A23" w:rsidP="00E97A23">
      <w:pPr>
        <w:pStyle w:val="Caption"/>
      </w:pPr>
      <w:r w:rsidRPr="00E97A23">
        <w:t>Table E4 – Capital expenditure planning assumptions</w:t>
      </w:r>
    </w:p>
    <w:tbl>
      <w:tblPr>
        <w:tblStyle w:val="TableProfessional"/>
        <w:tblW w:w="5000" w:type="pct"/>
        <w:tblLook w:val="0620" w:firstRow="1" w:lastRow="0" w:firstColumn="0" w:lastColumn="0" w:noHBand="1" w:noVBand="1"/>
      </w:tblPr>
      <w:tblGrid>
        <w:gridCol w:w="1516"/>
        <w:gridCol w:w="2218"/>
        <w:gridCol w:w="3770"/>
        <w:gridCol w:w="2127"/>
      </w:tblGrid>
      <w:tr w:rsidR="00143D6B" w:rsidRPr="00A25F2C" w14:paraId="038D71A2" w14:textId="77777777" w:rsidTr="0086694E">
        <w:trPr>
          <w:cnfStyle w:val="100000000000" w:firstRow="1" w:lastRow="0" w:firstColumn="0" w:lastColumn="0" w:oddVBand="0" w:evenVBand="0" w:oddHBand="0" w:evenHBand="0" w:firstRowFirstColumn="0" w:firstRowLastColumn="0" w:lastRowFirstColumn="0" w:lastRowLastColumn="0"/>
        </w:trPr>
        <w:tc>
          <w:tcPr>
            <w:tcW w:w="818" w:type="pct"/>
          </w:tcPr>
          <w:p w14:paraId="23C7212D" w14:textId="77777777" w:rsidR="007F4791" w:rsidRPr="00A25F2C" w:rsidRDefault="007F4791" w:rsidP="004E1FA1">
            <w:pPr>
              <w:pStyle w:val="TableBodyText"/>
            </w:pPr>
            <w:r w:rsidRPr="00A25F2C">
              <w:t>Planning Parameter</w:t>
            </w:r>
          </w:p>
        </w:tc>
        <w:tc>
          <w:tcPr>
            <w:tcW w:w="1182" w:type="pct"/>
          </w:tcPr>
          <w:p w14:paraId="29508202" w14:textId="77777777" w:rsidR="007F4791" w:rsidRPr="00A25F2C" w:rsidRDefault="007F4791" w:rsidP="004E1FA1">
            <w:pPr>
              <w:pStyle w:val="TableBodyText"/>
            </w:pPr>
            <w:r w:rsidRPr="00A25F2C">
              <w:t>Value</w:t>
            </w:r>
          </w:p>
        </w:tc>
        <w:tc>
          <w:tcPr>
            <w:tcW w:w="1988" w:type="pct"/>
          </w:tcPr>
          <w:p w14:paraId="10984538" w14:textId="77777777" w:rsidR="007F4791" w:rsidRPr="00A25F2C" w:rsidRDefault="007F4791" w:rsidP="004E1FA1">
            <w:pPr>
              <w:pStyle w:val="TableBodyText"/>
            </w:pPr>
            <w:r w:rsidRPr="00A25F2C">
              <w:t>Source</w:t>
            </w:r>
          </w:p>
        </w:tc>
        <w:tc>
          <w:tcPr>
            <w:tcW w:w="1011" w:type="pct"/>
          </w:tcPr>
          <w:p w14:paraId="3CA43B8D" w14:textId="77777777" w:rsidR="007F4791" w:rsidRPr="00A25F2C" w:rsidRDefault="007F4791" w:rsidP="004E1FA1">
            <w:pPr>
              <w:pStyle w:val="TableBodyText"/>
            </w:pPr>
            <w:r w:rsidRPr="00A25F2C">
              <w:t>Sensitivity/Exceptions</w:t>
            </w:r>
          </w:p>
        </w:tc>
      </w:tr>
      <w:tr w:rsidR="00143D6B" w:rsidRPr="00A25F2C" w14:paraId="6E4F796F" w14:textId="77777777" w:rsidTr="0086694E">
        <w:tc>
          <w:tcPr>
            <w:tcW w:w="818" w:type="pct"/>
          </w:tcPr>
          <w:p w14:paraId="5B187264" w14:textId="77777777" w:rsidR="007F4791" w:rsidRPr="00A25F2C" w:rsidRDefault="007F4791" w:rsidP="004E1FA1">
            <w:pPr>
              <w:pStyle w:val="TableBodyText"/>
            </w:pPr>
            <w:r w:rsidRPr="00A25F2C">
              <w:t>All projects &gt;$1M will have risk adjusted nominal estimates, P50 values adopted for planning purposes</w:t>
            </w:r>
          </w:p>
        </w:tc>
        <w:tc>
          <w:tcPr>
            <w:tcW w:w="1182" w:type="pct"/>
          </w:tcPr>
          <w:p w14:paraId="53E94E1A" w14:textId="77777777" w:rsidR="007F4791" w:rsidRPr="00A25F2C" w:rsidRDefault="007F4791" w:rsidP="004E1FA1">
            <w:pPr>
              <w:pStyle w:val="TableBodyText"/>
            </w:pPr>
            <w:r w:rsidRPr="00A25F2C">
              <w:t>Project cost estimates are a budget estimate at the first approval gateway, Business Needs Identifier (BNI). They are based on Risk Adjusted Nominal Estimate (RANE) P50, current project forecast expenditure at Preliminary Business Case (PBC) stage, or market-based contract values for projects post Business Case Approval (BCA).</w:t>
            </w:r>
          </w:p>
        </w:tc>
        <w:tc>
          <w:tcPr>
            <w:tcW w:w="1988" w:type="pct"/>
          </w:tcPr>
          <w:p w14:paraId="42959D4D" w14:textId="74958B77" w:rsidR="007F4791" w:rsidRPr="00A25F2C" w:rsidRDefault="007F4791" w:rsidP="004E1FA1">
            <w:pPr>
              <w:pStyle w:val="TableBodyText"/>
            </w:pPr>
            <w:r w:rsidRPr="00A25F2C">
              <w:t xml:space="preserve">Regulatory and customer service obligations are established in consultation with the Department of Health (DH), Environment Protection Authority Victoria, Department of Energy, Environment and Climate Action, waterways and drainage customers and retail water companies as part of Melbourne Water’s </w:t>
            </w:r>
            <w:r w:rsidRPr="00A25F2C">
              <w:rPr>
                <w:i/>
              </w:rPr>
              <w:t>2021 Price Submission</w:t>
            </w:r>
            <w:r w:rsidRPr="00A25F2C">
              <w:t xml:space="preserve">. The </w:t>
            </w:r>
            <w:r w:rsidR="001D7561">
              <w:t>Essential Services Commission</w:t>
            </w:r>
            <w:r w:rsidRPr="00A25F2C">
              <w:t>’s Final Determination was handed down in June 2021.</w:t>
            </w:r>
          </w:p>
        </w:tc>
        <w:tc>
          <w:tcPr>
            <w:tcW w:w="1011" w:type="pct"/>
          </w:tcPr>
          <w:p w14:paraId="00C05A29" w14:textId="3F51B270" w:rsidR="007F4791" w:rsidRPr="00A25F2C" w:rsidRDefault="00995D31" w:rsidP="004E1FA1">
            <w:pPr>
              <w:pStyle w:val="TableBodyText"/>
            </w:pPr>
            <w:r>
              <w:t>N/A</w:t>
            </w:r>
          </w:p>
        </w:tc>
      </w:tr>
    </w:tbl>
    <w:p w14:paraId="6927E4B6" w14:textId="60731267" w:rsidR="007F4791" w:rsidRPr="00A25F2C" w:rsidRDefault="00E97A23" w:rsidP="00E97A23">
      <w:pPr>
        <w:pStyle w:val="Caption"/>
      </w:pPr>
      <w:r w:rsidRPr="00E97A23">
        <w:lastRenderedPageBreak/>
        <w:t>Table E5 – Regulated return on regulated assets</w:t>
      </w:r>
    </w:p>
    <w:tbl>
      <w:tblPr>
        <w:tblStyle w:val="TableProfessional"/>
        <w:tblW w:w="5000" w:type="pct"/>
        <w:tblLook w:val="0620" w:firstRow="1" w:lastRow="0" w:firstColumn="0" w:lastColumn="0" w:noHBand="1" w:noVBand="1"/>
      </w:tblPr>
      <w:tblGrid>
        <w:gridCol w:w="1476"/>
        <w:gridCol w:w="2090"/>
        <w:gridCol w:w="3773"/>
        <w:gridCol w:w="2292"/>
      </w:tblGrid>
      <w:tr w:rsidR="007F4791" w:rsidRPr="00A25F2C" w14:paraId="57B6EE8E" w14:textId="77777777" w:rsidTr="0086694E">
        <w:trPr>
          <w:cnfStyle w:val="100000000000" w:firstRow="1" w:lastRow="0" w:firstColumn="0" w:lastColumn="0" w:oddVBand="0" w:evenVBand="0" w:oddHBand="0" w:evenHBand="0" w:firstRowFirstColumn="0" w:firstRowLastColumn="0" w:lastRowFirstColumn="0" w:lastRowLastColumn="0"/>
          <w:cantSplit/>
        </w:trPr>
        <w:tc>
          <w:tcPr>
            <w:tcW w:w="766" w:type="pct"/>
          </w:tcPr>
          <w:p w14:paraId="0FB0F0E6" w14:textId="77777777" w:rsidR="007F4791" w:rsidRPr="00A25F2C" w:rsidRDefault="007F4791" w:rsidP="004E1FA1">
            <w:pPr>
              <w:pStyle w:val="TableBodyText"/>
            </w:pPr>
            <w:r w:rsidRPr="00A25F2C">
              <w:t>Planning Parameter</w:t>
            </w:r>
          </w:p>
        </w:tc>
        <w:tc>
          <w:tcPr>
            <w:tcW w:w="1085" w:type="pct"/>
          </w:tcPr>
          <w:p w14:paraId="12166B38" w14:textId="77777777" w:rsidR="007F4791" w:rsidRPr="00A25F2C" w:rsidRDefault="007F4791" w:rsidP="004E1FA1">
            <w:pPr>
              <w:pStyle w:val="TableBodyText"/>
            </w:pPr>
            <w:r w:rsidRPr="00A25F2C">
              <w:t>Value</w:t>
            </w:r>
          </w:p>
        </w:tc>
        <w:tc>
          <w:tcPr>
            <w:tcW w:w="1959" w:type="pct"/>
          </w:tcPr>
          <w:p w14:paraId="011BF7A6" w14:textId="77777777" w:rsidR="007F4791" w:rsidRPr="00A25F2C" w:rsidRDefault="007F4791" w:rsidP="004E1FA1">
            <w:pPr>
              <w:pStyle w:val="TableBodyText"/>
            </w:pPr>
            <w:r w:rsidRPr="00A25F2C">
              <w:t>Source</w:t>
            </w:r>
          </w:p>
        </w:tc>
        <w:tc>
          <w:tcPr>
            <w:tcW w:w="1190" w:type="pct"/>
          </w:tcPr>
          <w:p w14:paraId="28F8468A" w14:textId="77777777" w:rsidR="007F4791" w:rsidRPr="00A25F2C" w:rsidRDefault="007F4791" w:rsidP="004E1FA1">
            <w:pPr>
              <w:pStyle w:val="TableBodyText"/>
            </w:pPr>
            <w:r w:rsidRPr="00A25F2C">
              <w:t>Sensitivity/Exceptions</w:t>
            </w:r>
          </w:p>
        </w:tc>
      </w:tr>
      <w:tr w:rsidR="007F4791" w:rsidRPr="00A25F2C" w14:paraId="491B65F1" w14:textId="77777777" w:rsidTr="0086694E">
        <w:trPr>
          <w:cantSplit/>
        </w:trPr>
        <w:tc>
          <w:tcPr>
            <w:tcW w:w="766" w:type="pct"/>
          </w:tcPr>
          <w:p w14:paraId="6538E647" w14:textId="77777777" w:rsidR="007F4791" w:rsidRPr="00A25F2C" w:rsidRDefault="007F4791" w:rsidP="004E1FA1">
            <w:pPr>
              <w:pStyle w:val="TableBodyText"/>
            </w:pPr>
            <w:r w:rsidRPr="00A25F2C">
              <w:t>Real $ Weighted Average Cost of Capital (WACC)</w:t>
            </w:r>
          </w:p>
        </w:tc>
        <w:tc>
          <w:tcPr>
            <w:tcW w:w="1085" w:type="pct"/>
          </w:tcPr>
          <w:p w14:paraId="2FA74FCC" w14:textId="40AD0027" w:rsidR="0086694E" w:rsidRDefault="0086694E" w:rsidP="004E1FA1">
            <w:pPr>
              <w:pStyle w:val="TableBodyText"/>
            </w:pPr>
            <w:r w:rsidRPr="00A25F2C">
              <w:t>2023-24 – 3.25%</w:t>
            </w:r>
          </w:p>
          <w:p w14:paraId="52E718AB" w14:textId="2F822A8E" w:rsidR="007F4791" w:rsidRPr="00A25F2C" w:rsidRDefault="007F4791" w:rsidP="004E1FA1">
            <w:pPr>
              <w:pStyle w:val="TableBodyText"/>
            </w:pPr>
            <w:r w:rsidRPr="00A25F2C">
              <w:t>2024-25 – 3.24%</w:t>
            </w:r>
          </w:p>
          <w:p w14:paraId="06AA4106" w14:textId="77777777" w:rsidR="007F4791" w:rsidRPr="00A25F2C" w:rsidRDefault="007F4791" w:rsidP="004E1FA1">
            <w:pPr>
              <w:pStyle w:val="TableBodyText"/>
            </w:pPr>
            <w:r w:rsidRPr="00A25F2C">
              <w:t>2025-26 – 3.33%</w:t>
            </w:r>
          </w:p>
          <w:p w14:paraId="5070303E" w14:textId="77777777" w:rsidR="007F4791" w:rsidRDefault="007F4791" w:rsidP="004E1FA1">
            <w:pPr>
              <w:pStyle w:val="TableBodyText"/>
            </w:pPr>
            <w:r w:rsidRPr="00A25F2C">
              <w:t>2026-27 – 3.21%</w:t>
            </w:r>
          </w:p>
          <w:p w14:paraId="4C8D420B" w14:textId="7414E042" w:rsidR="0086694E" w:rsidRPr="00A25F2C" w:rsidRDefault="0086694E" w:rsidP="004E1FA1">
            <w:pPr>
              <w:pStyle w:val="TableBodyText"/>
            </w:pPr>
            <w:r w:rsidRPr="0086694E">
              <w:t>2027-28 – 3.32%</w:t>
            </w:r>
          </w:p>
        </w:tc>
        <w:tc>
          <w:tcPr>
            <w:tcW w:w="1959" w:type="pct"/>
          </w:tcPr>
          <w:p w14:paraId="622B890B" w14:textId="3784188C" w:rsidR="007F4791" w:rsidRPr="00A25F2C" w:rsidRDefault="007F4791" w:rsidP="004E1FA1">
            <w:pPr>
              <w:pStyle w:val="TableBodyText"/>
            </w:pPr>
            <w:r w:rsidRPr="00A25F2C">
              <w:t xml:space="preserve">2023-24 to 2027-28 WACC values based on 10 year trailing average cost of debt and cost of equity based on </w:t>
            </w:r>
            <w:r w:rsidR="001D7561">
              <w:t>Essential Services Commission</w:t>
            </w:r>
            <w:r w:rsidRPr="00A25F2C">
              <w:t>’s assessment of Melbourne Water against the</w:t>
            </w:r>
          </w:p>
          <w:p w14:paraId="3B355E29" w14:textId="634EF740" w:rsidR="007F4791" w:rsidRPr="00A25F2C" w:rsidRDefault="001D7561" w:rsidP="004E1FA1">
            <w:pPr>
              <w:pStyle w:val="TableBodyText"/>
            </w:pPr>
            <w:r>
              <w:t>Performance, Risk, Engagement, Management and Outcomes</w:t>
            </w:r>
            <w:r w:rsidR="007F4791" w:rsidRPr="00A25F2C">
              <w:t xml:space="preserve"> rating system.</w:t>
            </w:r>
          </w:p>
        </w:tc>
        <w:tc>
          <w:tcPr>
            <w:tcW w:w="1190" w:type="pct"/>
          </w:tcPr>
          <w:p w14:paraId="4BE3070A" w14:textId="77777777" w:rsidR="0086694E" w:rsidRDefault="0086694E" w:rsidP="0086694E">
            <w:pPr>
              <w:pStyle w:val="TableBodyText"/>
            </w:pPr>
            <w:r w:rsidRPr="0086694E">
              <w:t>The debt component</w:t>
            </w:r>
            <w:r>
              <w:t xml:space="preserve"> </w:t>
            </w:r>
            <w:r w:rsidRPr="0086694E">
              <w:t>of the WACC will be</w:t>
            </w:r>
            <w:r>
              <w:t xml:space="preserve"> </w:t>
            </w:r>
            <w:r w:rsidRPr="0086694E">
              <w:t>updated each year to</w:t>
            </w:r>
            <w:r>
              <w:t xml:space="preserve"> </w:t>
            </w:r>
            <w:r w:rsidRPr="0086694E">
              <w:t xml:space="preserve">reflect an actual </w:t>
            </w:r>
            <w:proofErr w:type="gramStart"/>
            <w:r w:rsidRPr="0086694E">
              <w:t>10 year</w:t>
            </w:r>
            <w:proofErr w:type="gramEnd"/>
            <w:r>
              <w:t xml:space="preserve"> </w:t>
            </w:r>
            <w:r w:rsidRPr="0086694E">
              <w:t>trailing average. Given</w:t>
            </w:r>
            <w:r>
              <w:t xml:space="preserve"> </w:t>
            </w:r>
            <w:r w:rsidRPr="0086694E">
              <w:t>the update will only be</w:t>
            </w:r>
            <w:r>
              <w:t xml:space="preserve"> </w:t>
            </w:r>
            <w:r w:rsidRPr="0086694E">
              <w:t xml:space="preserve">to one year in the </w:t>
            </w:r>
            <w:proofErr w:type="gramStart"/>
            <w:r w:rsidRPr="0086694E">
              <w:t>10</w:t>
            </w:r>
            <w:r>
              <w:t xml:space="preserve"> </w:t>
            </w:r>
            <w:r w:rsidRPr="0086694E">
              <w:t>year</w:t>
            </w:r>
            <w:proofErr w:type="gramEnd"/>
            <w:r w:rsidRPr="0086694E">
              <w:t xml:space="preserve"> trailing average,</w:t>
            </w:r>
            <w:r>
              <w:t xml:space="preserve"> </w:t>
            </w:r>
            <w:r w:rsidR="007F4791" w:rsidRPr="00A25F2C">
              <w:t>this is likely to only cause slight variations to the weighted average cost of capital rates</w:t>
            </w:r>
            <w:r>
              <w:t xml:space="preserve"> </w:t>
            </w:r>
            <w:r w:rsidRPr="0086694E">
              <w:t>listed.</w:t>
            </w:r>
          </w:p>
          <w:p w14:paraId="096A2BB5" w14:textId="24211F8B" w:rsidR="007F4791" w:rsidRPr="00A25F2C" w:rsidRDefault="0086694E" w:rsidP="0086694E">
            <w:pPr>
              <w:pStyle w:val="TableBodyText"/>
            </w:pPr>
            <w:r w:rsidRPr="0086694E">
              <w:t>Melbourne Water’s</w:t>
            </w:r>
            <w:r>
              <w:t xml:space="preserve"> </w:t>
            </w:r>
            <w:r w:rsidRPr="0086694E">
              <w:t>self-assessment against</w:t>
            </w:r>
            <w:r>
              <w:t xml:space="preserve"> </w:t>
            </w:r>
            <w:r w:rsidRPr="0086694E">
              <w:t xml:space="preserve">the </w:t>
            </w:r>
            <w:r w:rsidR="001D7561">
              <w:t>Essential Services Commission</w:t>
            </w:r>
            <w:r w:rsidRPr="0086694E">
              <w:t xml:space="preserve">’s </w:t>
            </w:r>
            <w:r w:rsidR="001D7561">
              <w:t>Performance, Risk, Engagement, Management and Outcomes</w:t>
            </w:r>
            <w:r w:rsidRPr="0086694E">
              <w:t xml:space="preserve"> model</w:t>
            </w:r>
            <w:r>
              <w:t xml:space="preserve"> </w:t>
            </w:r>
            <w:r w:rsidRPr="0086694E">
              <w:t>and subsequent cost</w:t>
            </w:r>
            <w:r>
              <w:t xml:space="preserve"> </w:t>
            </w:r>
            <w:r w:rsidRPr="0086694E">
              <w:t>of equity outcomes for</w:t>
            </w:r>
            <w:r>
              <w:t xml:space="preserve"> </w:t>
            </w:r>
            <w:r w:rsidRPr="0086694E">
              <w:t>2027-28.</w:t>
            </w:r>
          </w:p>
        </w:tc>
      </w:tr>
      <w:tr w:rsidR="007F4791" w:rsidRPr="00A25F2C" w14:paraId="554482DF" w14:textId="77777777" w:rsidTr="0086694E">
        <w:trPr>
          <w:cantSplit/>
        </w:trPr>
        <w:tc>
          <w:tcPr>
            <w:tcW w:w="766" w:type="pct"/>
          </w:tcPr>
          <w:p w14:paraId="448EB02E" w14:textId="77777777" w:rsidR="007F4791" w:rsidRPr="00A25F2C" w:rsidRDefault="007F4791" w:rsidP="004E1FA1">
            <w:pPr>
              <w:pStyle w:val="TableBodyText"/>
            </w:pPr>
            <w:r w:rsidRPr="00A25F2C">
              <w:t>Regulatory asset base at 30/06/2022</w:t>
            </w:r>
          </w:p>
        </w:tc>
        <w:tc>
          <w:tcPr>
            <w:tcW w:w="1085" w:type="pct"/>
          </w:tcPr>
          <w:p w14:paraId="58EAC661" w14:textId="77777777" w:rsidR="007F4791" w:rsidRPr="00A25F2C" w:rsidRDefault="007F4791" w:rsidP="004E1FA1">
            <w:pPr>
              <w:pStyle w:val="TableBodyText"/>
            </w:pPr>
            <w:r w:rsidRPr="00A25F2C">
              <w:t>$11.94B</w:t>
            </w:r>
          </w:p>
        </w:tc>
        <w:tc>
          <w:tcPr>
            <w:tcW w:w="1959" w:type="pct"/>
          </w:tcPr>
          <w:p w14:paraId="65FB5E1F" w14:textId="0836B97C" w:rsidR="007F4791" w:rsidRPr="00A25F2C" w:rsidRDefault="007F4791" w:rsidP="004E1FA1">
            <w:pPr>
              <w:pStyle w:val="TableBodyText"/>
            </w:pPr>
            <w:r w:rsidRPr="00A25F2C">
              <w:t xml:space="preserve">2021-22 </w:t>
            </w:r>
            <w:r w:rsidR="001D7561">
              <w:t>Essential Services Commission</w:t>
            </w:r>
            <w:r w:rsidRPr="00A25F2C">
              <w:t xml:space="preserve"> Regulatory Accounts.</w:t>
            </w:r>
          </w:p>
        </w:tc>
        <w:tc>
          <w:tcPr>
            <w:tcW w:w="1190" w:type="pct"/>
          </w:tcPr>
          <w:p w14:paraId="7756BAAD" w14:textId="2FD0509B" w:rsidR="007F4791" w:rsidRPr="00A25F2C" w:rsidRDefault="00995D31" w:rsidP="004E1FA1">
            <w:pPr>
              <w:pStyle w:val="TableBodyText"/>
            </w:pPr>
            <w:r>
              <w:t>N/A</w:t>
            </w:r>
          </w:p>
        </w:tc>
      </w:tr>
      <w:tr w:rsidR="007F4791" w:rsidRPr="00A25F2C" w14:paraId="7FAF064A" w14:textId="77777777" w:rsidTr="0086694E">
        <w:trPr>
          <w:cantSplit/>
        </w:trPr>
        <w:tc>
          <w:tcPr>
            <w:tcW w:w="766" w:type="pct"/>
          </w:tcPr>
          <w:p w14:paraId="75D29DDD" w14:textId="77777777" w:rsidR="007F4791" w:rsidRPr="00A25F2C" w:rsidRDefault="007F4791" w:rsidP="004E1FA1">
            <w:pPr>
              <w:pStyle w:val="TableBodyText"/>
            </w:pPr>
            <w:r w:rsidRPr="00A25F2C">
              <w:t>Fixed assets (net of accumulated depreciation)</w:t>
            </w:r>
          </w:p>
        </w:tc>
        <w:tc>
          <w:tcPr>
            <w:tcW w:w="1085" w:type="pct"/>
          </w:tcPr>
          <w:p w14:paraId="43AAEC22" w14:textId="77777777" w:rsidR="007F4791" w:rsidRPr="00A25F2C" w:rsidRDefault="007F4791" w:rsidP="004E1FA1">
            <w:pPr>
              <w:pStyle w:val="TableBodyText"/>
            </w:pPr>
            <w:r w:rsidRPr="00A25F2C">
              <w:t>$16.8B</w:t>
            </w:r>
          </w:p>
        </w:tc>
        <w:tc>
          <w:tcPr>
            <w:tcW w:w="1959" w:type="pct"/>
          </w:tcPr>
          <w:p w14:paraId="3F21E137" w14:textId="77777777" w:rsidR="007F4791" w:rsidRPr="00A25F2C" w:rsidRDefault="007F4791" w:rsidP="004E1FA1">
            <w:pPr>
              <w:pStyle w:val="TableBodyText"/>
            </w:pPr>
            <w:r w:rsidRPr="00A25F2C">
              <w:t>December 2022-23 results.</w:t>
            </w:r>
          </w:p>
          <w:p w14:paraId="11C9BE0C" w14:textId="77777777" w:rsidR="007F4791" w:rsidRPr="00A25F2C" w:rsidRDefault="007F4791" w:rsidP="004E1FA1">
            <w:pPr>
              <w:pStyle w:val="TableBodyText"/>
            </w:pPr>
            <w:r w:rsidRPr="00A25F2C">
              <w:t>The opening 2022-23 asset values are based on final 30 June 2023 audited results (and external valuations where relevant).</w:t>
            </w:r>
          </w:p>
        </w:tc>
        <w:tc>
          <w:tcPr>
            <w:tcW w:w="1190" w:type="pct"/>
          </w:tcPr>
          <w:p w14:paraId="0439C637" w14:textId="74371E02" w:rsidR="0086694E" w:rsidRDefault="0086694E" w:rsidP="004E1FA1">
            <w:pPr>
              <w:pStyle w:val="TableBodyText"/>
            </w:pPr>
            <w:r w:rsidRPr="00A25F2C">
              <w:t xml:space="preserve">The </w:t>
            </w:r>
            <w:r w:rsidRPr="00A25F2C">
              <w:rPr>
                <w:i/>
              </w:rPr>
              <w:t xml:space="preserve">Corporate Plan </w:t>
            </w:r>
            <w:r w:rsidRPr="00A25F2C">
              <w:t xml:space="preserve">includes forecast additions, </w:t>
            </w:r>
            <w:proofErr w:type="gramStart"/>
            <w:r w:rsidRPr="00A25F2C">
              <w:t>disposals</w:t>
            </w:r>
            <w:proofErr w:type="gramEnd"/>
            <w:r w:rsidRPr="00A25F2C">
              <w:t xml:space="preserve"> and depreciation over the planning period.</w:t>
            </w:r>
            <w:r>
              <w:t xml:space="preserve"> </w:t>
            </w:r>
          </w:p>
          <w:p w14:paraId="237FFA38" w14:textId="660B4784" w:rsidR="007F4791" w:rsidRPr="00A25F2C" w:rsidRDefault="007F4791" w:rsidP="0086694E">
            <w:pPr>
              <w:pStyle w:val="TableBodyText"/>
            </w:pPr>
            <w:r w:rsidRPr="00A25F2C">
              <w:t>2022-23 is a managerial valuation year under DTF FRD 103 with potential adjustments for land and buildings, service concession and infrastructure assets</w:t>
            </w:r>
            <w:r w:rsidR="0086694E">
              <w:t xml:space="preserve"> </w:t>
            </w:r>
            <w:r w:rsidRPr="00A25F2C">
              <w:t>if there is a material movement in value.</w:t>
            </w:r>
            <w:r w:rsidR="0086694E">
              <w:t xml:space="preserve"> </w:t>
            </w:r>
            <w:r w:rsidRPr="00A25F2C">
              <w:t>We are not yet able to estimate if there will be any material movement requiring adjustment so nil has been included</w:t>
            </w:r>
            <w:r w:rsidR="0086694E">
              <w:t xml:space="preserve"> </w:t>
            </w:r>
            <w:r w:rsidRPr="00A25F2C">
              <w:t>in the plan. Valuation adjustments can also impact depreciation expenditure assumptions.</w:t>
            </w:r>
          </w:p>
        </w:tc>
      </w:tr>
      <w:tr w:rsidR="007F4791" w:rsidRPr="00A25F2C" w14:paraId="275FE926" w14:textId="77777777" w:rsidTr="0086694E">
        <w:trPr>
          <w:cantSplit/>
        </w:trPr>
        <w:tc>
          <w:tcPr>
            <w:tcW w:w="766" w:type="pct"/>
          </w:tcPr>
          <w:p w14:paraId="76FD5B5B" w14:textId="77777777" w:rsidR="007F4791" w:rsidRPr="00A25F2C" w:rsidRDefault="007F4791" w:rsidP="004E1FA1">
            <w:pPr>
              <w:pStyle w:val="TableBodyText"/>
            </w:pPr>
            <w:r w:rsidRPr="00A25F2C">
              <w:t>Distributions to government (dividends)</w:t>
            </w:r>
          </w:p>
        </w:tc>
        <w:tc>
          <w:tcPr>
            <w:tcW w:w="1085" w:type="pct"/>
          </w:tcPr>
          <w:p w14:paraId="44C41517" w14:textId="77777777" w:rsidR="007F4791" w:rsidRPr="00A25F2C" w:rsidRDefault="007F4791" w:rsidP="004E1FA1">
            <w:pPr>
              <w:pStyle w:val="TableBodyText"/>
            </w:pPr>
            <w:r w:rsidRPr="00A25F2C">
              <w:t>65% of net profit before tax less tax equivalents</w:t>
            </w:r>
          </w:p>
        </w:tc>
        <w:tc>
          <w:tcPr>
            <w:tcW w:w="1959" w:type="pct"/>
          </w:tcPr>
          <w:p w14:paraId="45A10126" w14:textId="77777777" w:rsidR="007F4791" w:rsidRPr="00A25F2C" w:rsidRDefault="007F4791" w:rsidP="004E1FA1">
            <w:pPr>
              <w:pStyle w:val="TableBodyText"/>
            </w:pPr>
            <w:r w:rsidRPr="00A25F2C">
              <w:t>State Government, as advised by the Department of Treasury and Finance – Victoria.</w:t>
            </w:r>
          </w:p>
        </w:tc>
        <w:tc>
          <w:tcPr>
            <w:tcW w:w="1190" w:type="pct"/>
          </w:tcPr>
          <w:p w14:paraId="7AB90774" w14:textId="77777777" w:rsidR="007F4791" w:rsidRPr="00A25F2C" w:rsidRDefault="007F4791" w:rsidP="004E1FA1">
            <w:pPr>
              <w:pStyle w:val="TableBodyText"/>
            </w:pPr>
            <w:r w:rsidRPr="00A25F2C">
              <w:t>Variations advised by the Department of Treasury and Finance – Victoria.</w:t>
            </w:r>
          </w:p>
        </w:tc>
      </w:tr>
    </w:tbl>
    <w:p w14:paraId="1FE1E2C3" w14:textId="77E5BFCB" w:rsidR="00143D6B" w:rsidRDefault="0086694E" w:rsidP="009A601F">
      <w:pPr>
        <w:pStyle w:val="Caption"/>
      </w:pPr>
      <w:r w:rsidRPr="0086694E">
        <w:lastRenderedPageBreak/>
        <w:t>Table E6 – Water Demand Forecast</w:t>
      </w:r>
    </w:p>
    <w:tbl>
      <w:tblPr>
        <w:tblStyle w:val="TableProfessional"/>
        <w:tblW w:w="5000" w:type="pct"/>
        <w:tblLook w:val="0620" w:firstRow="1" w:lastRow="0" w:firstColumn="0" w:lastColumn="0" w:noHBand="1" w:noVBand="1"/>
      </w:tblPr>
      <w:tblGrid>
        <w:gridCol w:w="2833"/>
        <w:gridCol w:w="1133"/>
        <w:gridCol w:w="1233"/>
        <w:gridCol w:w="1133"/>
        <w:gridCol w:w="1135"/>
        <w:gridCol w:w="1133"/>
        <w:gridCol w:w="1031"/>
      </w:tblGrid>
      <w:tr w:rsidR="0086694E" w:rsidRPr="00A25F2C" w14:paraId="0DA7B2DB" w14:textId="77777777" w:rsidTr="0086694E">
        <w:trPr>
          <w:cnfStyle w:val="100000000000" w:firstRow="1" w:lastRow="0" w:firstColumn="0" w:lastColumn="0" w:oddVBand="0" w:evenVBand="0" w:oddHBand="0" w:evenHBand="0" w:firstRowFirstColumn="0" w:firstRowLastColumn="0" w:lastRowFirstColumn="0" w:lastRowLastColumn="0"/>
        </w:trPr>
        <w:tc>
          <w:tcPr>
            <w:tcW w:w="1471" w:type="pct"/>
          </w:tcPr>
          <w:p w14:paraId="0540AF16" w14:textId="77777777" w:rsidR="007F4791" w:rsidRPr="00A25F2C" w:rsidRDefault="007F4791" w:rsidP="009A601F">
            <w:pPr>
              <w:pStyle w:val="TableBodyText"/>
              <w:keepNext/>
            </w:pPr>
            <w:r w:rsidRPr="00A25F2C">
              <w:t>Volume (ML)</w:t>
            </w:r>
          </w:p>
        </w:tc>
        <w:tc>
          <w:tcPr>
            <w:tcW w:w="588" w:type="pct"/>
          </w:tcPr>
          <w:p w14:paraId="1D898416" w14:textId="77777777" w:rsidR="007F4791" w:rsidRPr="00A25F2C" w:rsidRDefault="007F4791" w:rsidP="009A601F">
            <w:pPr>
              <w:pStyle w:val="TableBodyText"/>
              <w:keepNext/>
              <w:jc w:val="right"/>
            </w:pPr>
            <w:r w:rsidRPr="00A25F2C">
              <w:t>2022-23</w:t>
            </w:r>
          </w:p>
          <w:p w14:paraId="3F9CFB98" w14:textId="77777777" w:rsidR="007F4791" w:rsidRPr="00A25F2C" w:rsidRDefault="007F4791" w:rsidP="009A601F">
            <w:pPr>
              <w:pStyle w:val="TableBodyText"/>
              <w:keepNext/>
              <w:jc w:val="right"/>
            </w:pPr>
            <w:r w:rsidRPr="00A25F2C">
              <w:t>Forecast</w:t>
            </w:r>
          </w:p>
        </w:tc>
        <w:tc>
          <w:tcPr>
            <w:tcW w:w="640" w:type="pct"/>
          </w:tcPr>
          <w:p w14:paraId="046CC83B" w14:textId="77777777" w:rsidR="007F4791" w:rsidRPr="00A25F2C" w:rsidRDefault="007F4791" w:rsidP="009A601F">
            <w:pPr>
              <w:pStyle w:val="TableBodyText"/>
              <w:keepNext/>
              <w:jc w:val="right"/>
            </w:pPr>
            <w:r w:rsidRPr="00A25F2C">
              <w:t>2023-24</w:t>
            </w:r>
          </w:p>
        </w:tc>
        <w:tc>
          <w:tcPr>
            <w:tcW w:w="588" w:type="pct"/>
          </w:tcPr>
          <w:p w14:paraId="5C4A3EAC" w14:textId="77777777" w:rsidR="007F4791" w:rsidRPr="00A25F2C" w:rsidRDefault="007F4791" w:rsidP="009A601F">
            <w:pPr>
              <w:pStyle w:val="TableBodyText"/>
              <w:keepNext/>
              <w:jc w:val="right"/>
            </w:pPr>
            <w:r w:rsidRPr="00A25F2C">
              <w:t>2024-25</w:t>
            </w:r>
          </w:p>
        </w:tc>
        <w:tc>
          <w:tcPr>
            <w:tcW w:w="589" w:type="pct"/>
          </w:tcPr>
          <w:p w14:paraId="27533204" w14:textId="77777777" w:rsidR="007F4791" w:rsidRPr="00A25F2C" w:rsidRDefault="007F4791" w:rsidP="009A601F">
            <w:pPr>
              <w:pStyle w:val="TableBodyText"/>
              <w:keepNext/>
              <w:jc w:val="right"/>
            </w:pPr>
            <w:r w:rsidRPr="00A25F2C">
              <w:t>2025-26</w:t>
            </w:r>
          </w:p>
        </w:tc>
        <w:tc>
          <w:tcPr>
            <w:tcW w:w="588" w:type="pct"/>
          </w:tcPr>
          <w:p w14:paraId="3DB27BA6" w14:textId="77777777" w:rsidR="007F4791" w:rsidRPr="00A25F2C" w:rsidRDefault="007F4791" w:rsidP="009A601F">
            <w:pPr>
              <w:pStyle w:val="TableBodyText"/>
              <w:keepNext/>
              <w:jc w:val="right"/>
            </w:pPr>
            <w:r w:rsidRPr="00A25F2C">
              <w:t>2026-27</w:t>
            </w:r>
          </w:p>
        </w:tc>
        <w:tc>
          <w:tcPr>
            <w:tcW w:w="535" w:type="pct"/>
          </w:tcPr>
          <w:p w14:paraId="033E71FD" w14:textId="77777777" w:rsidR="007F4791" w:rsidRPr="00A25F2C" w:rsidRDefault="007F4791" w:rsidP="009A601F">
            <w:pPr>
              <w:pStyle w:val="TableBodyText"/>
              <w:keepNext/>
              <w:jc w:val="right"/>
            </w:pPr>
            <w:r w:rsidRPr="00A25F2C">
              <w:t>2027-28</w:t>
            </w:r>
          </w:p>
        </w:tc>
      </w:tr>
      <w:tr w:rsidR="007F4791" w:rsidRPr="00A25F2C" w14:paraId="58FB55FB" w14:textId="77777777" w:rsidTr="0086694E">
        <w:tc>
          <w:tcPr>
            <w:tcW w:w="1471" w:type="pct"/>
          </w:tcPr>
          <w:p w14:paraId="75853B06" w14:textId="77777777" w:rsidR="007F4791" w:rsidRPr="00A25F2C" w:rsidRDefault="007F4791" w:rsidP="009A601F">
            <w:pPr>
              <w:pStyle w:val="TableBodyText"/>
              <w:keepNext/>
            </w:pPr>
            <w:r w:rsidRPr="00A25F2C">
              <w:t>Greater Western Water</w:t>
            </w:r>
          </w:p>
        </w:tc>
        <w:tc>
          <w:tcPr>
            <w:tcW w:w="588" w:type="pct"/>
          </w:tcPr>
          <w:p w14:paraId="13364041" w14:textId="77777777" w:rsidR="007F4791" w:rsidRPr="00A25F2C" w:rsidRDefault="007F4791" w:rsidP="009A601F">
            <w:pPr>
              <w:pStyle w:val="TableBodyText"/>
              <w:keepNext/>
              <w:jc w:val="right"/>
            </w:pPr>
            <w:r w:rsidRPr="00A25F2C">
              <w:t>122,283</w:t>
            </w:r>
          </w:p>
        </w:tc>
        <w:tc>
          <w:tcPr>
            <w:tcW w:w="640" w:type="pct"/>
          </w:tcPr>
          <w:p w14:paraId="234BC6D2" w14:textId="77777777" w:rsidR="007F4791" w:rsidRPr="00A25F2C" w:rsidRDefault="007F4791" w:rsidP="009A601F">
            <w:pPr>
              <w:pStyle w:val="TableBodyText"/>
              <w:keepNext/>
              <w:jc w:val="right"/>
            </w:pPr>
            <w:r w:rsidRPr="00A25F2C">
              <w:t>119,837</w:t>
            </w:r>
          </w:p>
        </w:tc>
        <w:tc>
          <w:tcPr>
            <w:tcW w:w="588" w:type="pct"/>
          </w:tcPr>
          <w:p w14:paraId="2D172B86" w14:textId="77777777" w:rsidR="007F4791" w:rsidRPr="00A25F2C" w:rsidRDefault="007F4791" w:rsidP="009A601F">
            <w:pPr>
              <w:pStyle w:val="TableBodyText"/>
              <w:keepNext/>
              <w:jc w:val="right"/>
            </w:pPr>
            <w:r w:rsidRPr="00A25F2C">
              <w:t>120,753</w:t>
            </w:r>
          </w:p>
        </w:tc>
        <w:tc>
          <w:tcPr>
            <w:tcW w:w="589" w:type="pct"/>
          </w:tcPr>
          <w:p w14:paraId="6CED8739" w14:textId="77777777" w:rsidR="007F4791" w:rsidRPr="00A25F2C" w:rsidRDefault="007F4791" w:rsidP="009A601F">
            <w:pPr>
              <w:pStyle w:val="TableBodyText"/>
              <w:keepNext/>
              <w:jc w:val="right"/>
            </w:pPr>
            <w:r w:rsidRPr="00A25F2C">
              <w:t>122,829</w:t>
            </w:r>
          </w:p>
        </w:tc>
        <w:tc>
          <w:tcPr>
            <w:tcW w:w="588" w:type="pct"/>
          </w:tcPr>
          <w:p w14:paraId="6F6983D9" w14:textId="77777777" w:rsidR="007F4791" w:rsidRPr="00A25F2C" w:rsidRDefault="007F4791" w:rsidP="009A601F">
            <w:pPr>
              <w:pStyle w:val="TableBodyText"/>
              <w:keepNext/>
              <w:jc w:val="right"/>
            </w:pPr>
            <w:r w:rsidRPr="00A25F2C">
              <w:t>126,583</w:t>
            </w:r>
          </w:p>
        </w:tc>
        <w:tc>
          <w:tcPr>
            <w:tcW w:w="535" w:type="pct"/>
          </w:tcPr>
          <w:p w14:paraId="3DF41CA2" w14:textId="77777777" w:rsidR="007F4791" w:rsidRPr="00A25F2C" w:rsidRDefault="007F4791" w:rsidP="009A601F">
            <w:pPr>
              <w:pStyle w:val="TableBodyText"/>
              <w:keepNext/>
              <w:jc w:val="right"/>
            </w:pPr>
            <w:r w:rsidRPr="00A25F2C">
              <w:t>128,942</w:t>
            </w:r>
          </w:p>
        </w:tc>
      </w:tr>
      <w:tr w:rsidR="007F4791" w:rsidRPr="00A25F2C" w14:paraId="10C4A31C" w14:textId="77777777" w:rsidTr="0086694E">
        <w:tc>
          <w:tcPr>
            <w:tcW w:w="1471" w:type="pct"/>
          </w:tcPr>
          <w:p w14:paraId="3D1E63F0" w14:textId="77777777" w:rsidR="007F4791" w:rsidRPr="00A25F2C" w:rsidRDefault="007F4791" w:rsidP="009A601F">
            <w:pPr>
              <w:pStyle w:val="TableBodyText"/>
              <w:keepNext/>
            </w:pPr>
            <w:proofErr w:type="gramStart"/>
            <w:r w:rsidRPr="00A25F2C">
              <w:t>South East</w:t>
            </w:r>
            <w:proofErr w:type="gramEnd"/>
            <w:r w:rsidRPr="00A25F2C">
              <w:t xml:space="preserve"> Water</w:t>
            </w:r>
          </w:p>
        </w:tc>
        <w:tc>
          <w:tcPr>
            <w:tcW w:w="588" w:type="pct"/>
          </w:tcPr>
          <w:p w14:paraId="51ECBB4A" w14:textId="77777777" w:rsidR="007F4791" w:rsidRPr="00A25F2C" w:rsidRDefault="007F4791" w:rsidP="009A601F">
            <w:pPr>
              <w:pStyle w:val="TableBodyText"/>
              <w:keepNext/>
              <w:jc w:val="right"/>
            </w:pPr>
            <w:r w:rsidRPr="00A25F2C">
              <w:t>155,992</w:t>
            </w:r>
          </w:p>
        </w:tc>
        <w:tc>
          <w:tcPr>
            <w:tcW w:w="640" w:type="pct"/>
          </w:tcPr>
          <w:p w14:paraId="01D9DC34" w14:textId="77777777" w:rsidR="007F4791" w:rsidRPr="00A25F2C" w:rsidRDefault="007F4791" w:rsidP="009A601F">
            <w:pPr>
              <w:pStyle w:val="TableBodyText"/>
              <w:keepNext/>
              <w:jc w:val="right"/>
            </w:pPr>
            <w:r w:rsidRPr="00A25F2C">
              <w:t>165,367</w:t>
            </w:r>
          </w:p>
        </w:tc>
        <w:tc>
          <w:tcPr>
            <w:tcW w:w="588" w:type="pct"/>
          </w:tcPr>
          <w:p w14:paraId="1DE173F6" w14:textId="77777777" w:rsidR="007F4791" w:rsidRPr="00A25F2C" w:rsidRDefault="007F4791" w:rsidP="009A601F">
            <w:pPr>
              <w:pStyle w:val="TableBodyText"/>
              <w:keepNext/>
              <w:jc w:val="right"/>
            </w:pPr>
            <w:r w:rsidRPr="00A25F2C">
              <w:t>166,417</w:t>
            </w:r>
          </w:p>
        </w:tc>
        <w:tc>
          <w:tcPr>
            <w:tcW w:w="589" w:type="pct"/>
          </w:tcPr>
          <w:p w14:paraId="6D2A5944" w14:textId="77777777" w:rsidR="007F4791" w:rsidRPr="00A25F2C" w:rsidRDefault="007F4791" w:rsidP="009A601F">
            <w:pPr>
              <w:pStyle w:val="TableBodyText"/>
              <w:keepNext/>
              <w:jc w:val="right"/>
            </w:pPr>
            <w:r w:rsidRPr="00A25F2C">
              <w:t>167,607</w:t>
            </w:r>
          </w:p>
        </w:tc>
        <w:tc>
          <w:tcPr>
            <w:tcW w:w="588" w:type="pct"/>
          </w:tcPr>
          <w:p w14:paraId="0CAF7FB1" w14:textId="77777777" w:rsidR="007F4791" w:rsidRPr="00A25F2C" w:rsidRDefault="007F4791" w:rsidP="009A601F">
            <w:pPr>
              <w:pStyle w:val="TableBodyText"/>
              <w:keepNext/>
              <w:jc w:val="right"/>
            </w:pPr>
            <w:r w:rsidRPr="00A25F2C">
              <w:t>168,995</w:t>
            </w:r>
          </w:p>
        </w:tc>
        <w:tc>
          <w:tcPr>
            <w:tcW w:w="535" w:type="pct"/>
          </w:tcPr>
          <w:p w14:paraId="43C251B0" w14:textId="77777777" w:rsidR="007F4791" w:rsidRPr="00A25F2C" w:rsidRDefault="007F4791" w:rsidP="009A601F">
            <w:pPr>
              <w:pStyle w:val="TableBodyText"/>
              <w:keepNext/>
              <w:jc w:val="right"/>
            </w:pPr>
            <w:r w:rsidRPr="00A25F2C">
              <w:t>170,354</w:t>
            </w:r>
          </w:p>
        </w:tc>
      </w:tr>
      <w:tr w:rsidR="007F4791" w:rsidRPr="00A25F2C" w14:paraId="576F33E3" w14:textId="77777777" w:rsidTr="0086694E">
        <w:tc>
          <w:tcPr>
            <w:tcW w:w="1471" w:type="pct"/>
          </w:tcPr>
          <w:p w14:paraId="62B2184D" w14:textId="77777777" w:rsidR="007F4791" w:rsidRPr="00A25F2C" w:rsidRDefault="007F4791" w:rsidP="009A601F">
            <w:pPr>
              <w:pStyle w:val="TableBodyText"/>
              <w:keepNext/>
            </w:pPr>
            <w:r w:rsidRPr="00A25F2C">
              <w:t>Yarra Valley Water</w:t>
            </w:r>
          </w:p>
        </w:tc>
        <w:tc>
          <w:tcPr>
            <w:tcW w:w="588" w:type="pct"/>
          </w:tcPr>
          <w:p w14:paraId="655B257A" w14:textId="77777777" w:rsidR="007F4791" w:rsidRPr="00A25F2C" w:rsidRDefault="007F4791" w:rsidP="009A601F">
            <w:pPr>
              <w:pStyle w:val="TableBodyText"/>
              <w:keepNext/>
              <w:jc w:val="right"/>
            </w:pPr>
            <w:r w:rsidRPr="00A25F2C">
              <w:t>154,200</w:t>
            </w:r>
          </w:p>
        </w:tc>
        <w:tc>
          <w:tcPr>
            <w:tcW w:w="640" w:type="pct"/>
          </w:tcPr>
          <w:p w14:paraId="74B99B8C" w14:textId="77777777" w:rsidR="007F4791" w:rsidRPr="00A25F2C" w:rsidRDefault="007F4791" w:rsidP="009A601F">
            <w:pPr>
              <w:pStyle w:val="TableBodyText"/>
              <w:keepNext/>
              <w:jc w:val="right"/>
            </w:pPr>
            <w:r w:rsidRPr="00A25F2C">
              <w:t>163,104</w:t>
            </w:r>
          </w:p>
        </w:tc>
        <w:tc>
          <w:tcPr>
            <w:tcW w:w="588" w:type="pct"/>
          </w:tcPr>
          <w:p w14:paraId="0F914F16" w14:textId="77777777" w:rsidR="007F4791" w:rsidRPr="00A25F2C" w:rsidRDefault="007F4791" w:rsidP="009A601F">
            <w:pPr>
              <w:pStyle w:val="TableBodyText"/>
              <w:keepNext/>
              <w:jc w:val="right"/>
            </w:pPr>
            <w:r w:rsidRPr="00A25F2C">
              <w:t>164,489</w:t>
            </w:r>
          </w:p>
        </w:tc>
        <w:tc>
          <w:tcPr>
            <w:tcW w:w="589" w:type="pct"/>
          </w:tcPr>
          <w:p w14:paraId="5493B0F8" w14:textId="77777777" w:rsidR="007F4791" w:rsidRPr="00A25F2C" w:rsidRDefault="007F4791" w:rsidP="009A601F">
            <w:pPr>
              <w:pStyle w:val="TableBodyText"/>
              <w:keepNext/>
              <w:jc w:val="right"/>
            </w:pPr>
            <w:r w:rsidRPr="00A25F2C">
              <w:t>166,479</w:t>
            </w:r>
          </w:p>
        </w:tc>
        <w:tc>
          <w:tcPr>
            <w:tcW w:w="588" w:type="pct"/>
          </w:tcPr>
          <w:p w14:paraId="40F8F9DA" w14:textId="77777777" w:rsidR="007F4791" w:rsidRPr="00A25F2C" w:rsidRDefault="007F4791" w:rsidP="009A601F">
            <w:pPr>
              <w:pStyle w:val="TableBodyText"/>
              <w:keepNext/>
              <w:jc w:val="right"/>
            </w:pPr>
            <w:r w:rsidRPr="00A25F2C">
              <w:t>167,484</w:t>
            </w:r>
          </w:p>
        </w:tc>
        <w:tc>
          <w:tcPr>
            <w:tcW w:w="535" w:type="pct"/>
          </w:tcPr>
          <w:p w14:paraId="2A95FF48" w14:textId="77777777" w:rsidR="007F4791" w:rsidRPr="00A25F2C" w:rsidRDefault="007F4791" w:rsidP="009A601F">
            <w:pPr>
              <w:pStyle w:val="TableBodyText"/>
              <w:keepNext/>
              <w:jc w:val="right"/>
            </w:pPr>
            <w:r w:rsidRPr="00A25F2C">
              <w:t>167,706</w:t>
            </w:r>
          </w:p>
        </w:tc>
      </w:tr>
      <w:tr w:rsidR="007F4791" w:rsidRPr="00A25F2C" w14:paraId="0852163E" w14:textId="77777777" w:rsidTr="0086694E">
        <w:tc>
          <w:tcPr>
            <w:tcW w:w="1471" w:type="pct"/>
          </w:tcPr>
          <w:p w14:paraId="60267749" w14:textId="77777777" w:rsidR="007F4791" w:rsidRPr="00A25F2C" w:rsidRDefault="007F4791" w:rsidP="009A601F">
            <w:pPr>
              <w:pStyle w:val="TableBodyText"/>
              <w:keepNext/>
            </w:pPr>
            <w:r w:rsidRPr="00A25F2C">
              <w:t>Barwon Water</w:t>
            </w:r>
          </w:p>
        </w:tc>
        <w:tc>
          <w:tcPr>
            <w:tcW w:w="588" w:type="pct"/>
          </w:tcPr>
          <w:p w14:paraId="3EBB13F8" w14:textId="77777777" w:rsidR="007F4791" w:rsidRPr="00A25F2C" w:rsidRDefault="007F4791" w:rsidP="009A601F">
            <w:pPr>
              <w:pStyle w:val="TableBodyText"/>
              <w:keepNext/>
              <w:jc w:val="right"/>
            </w:pPr>
            <w:r w:rsidRPr="00A25F2C">
              <w:t>580</w:t>
            </w:r>
          </w:p>
        </w:tc>
        <w:tc>
          <w:tcPr>
            <w:tcW w:w="640" w:type="pct"/>
          </w:tcPr>
          <w:p w14:paraId="29F9F2E0" w14:textId="77777777" w:rsidR="007F4791" w:rsidRPr="00A25F2C" w:rsidRDefault="007F4791" w:rsidP="009A601F">
            <w:pPr>
              <w:pStyle w:val="TableBodyText"/>
              <w:keepNext/>
              <w:jc w:val="right"/>
            </w:pPr>
            <w:r w:rsidRPr="00A25F2C">
              <w:t>3,100</w:t>
            </w:r>
          </w:p>
        </w:tc>
        <w:tc>
          <w:tcPr>
            <w:tcW w:w="588" w:type="pct"/>
          </w:tcPr>
          <w:p w14:paraId="74E756C9" w14:textId="77777777" w:rsidR="007F4791" w:rsidRPr="00A25F2C" w:rsidRDefault="007F4791" w:rsidP="009A601F">
            <w:pPr>
              <w:pStyle w:val="TableBodyText"/>
              <w:keepNext/>
              <w:jc w:val="right"/>
            </w:pPr>
            <w:r w:rsidRPr="00A25F2C">
              <w:t>3,100</w:t>
            </w:r>
          </w:p>
        </w:tc>
        <w:tc>
          <w:tcPr>
            <w:tcW w:w="589" w:type="pct"/>
          </w:tcPr>
          <w:p w14:paraId="69F94DEF" w14:textId="77777777" w:rsidR="007F4791" w:rsidRPr="00A25F2C" w:rsidRDefault="007F4791" w:rsidP="009A601F">
            <w:pPr>
              <w:pStyle w:val="TableBodyText"/>
              <w:keepNext/>
              <w:jc w:val="right"/>
            </w:pPr>
            <w:r w:rsidRPr="00A25F2C">
              <w:t>3,100</w:t>
            </w:r>
          </w:p>
        </w:tc>
        <w:tc>
          <w:tcPr>
            <w:tcW w:w="588" w:type="pct"/>
          </w:tcPr>
          <w:p w14:paraId="1C2FBFD7" w14:textId="77777777" w:rsidR="007F4791" w:rsidRPr="00A25F2C" w:rsidRDefault="007F4791" w:rsidP="009A601F">
            <w:pPr>
              <w:pStyle w:val="TableBodyText"/>
              <w:keepNext/>
              <w:jc w:val="right"/>
            </w:pPr>
            <w:r w:rsidRPr="00A25F2C">
              <w:t>6,800</w:t>
            </w:r>
          </w:p>
        </w:tc>
        <w:tc>
          <w:tcPr>
            <w:tcW w:w="535" w:type="pct"/>
          </w:tcPr>
          <w:p w14:paraId="6EDF51CD" w14:textId="77777777" w:rsidR="007F4791" w:rsidRPr="00A25F2C" w:rsidRDefault="007F4791" w:rsidP="009A601F">
            <w:pPr>
              <w:pStyle w:val="TableBodyText"/>
              <w:keepNext/>
              <w:jc w:val="right"/>
            </w:pPr>
            <w:r w:rsidRPr="00A25F2C">
              <w:t>6,800</w:t>
            </w:r>
          </w:p>
        </w:tc>
      </w:tr>
      <w:tr w:rsidR="007F4791" w:rsidRPr="00A25F2C" w14:paraId="35F230CC" w14:textId="77777777" w:rsidTr="0086694E">
        <w:tc>
          <w:tcPr>
            <w:tcW w:w="1471" w:type="pct"/>
          </w:tcPr>
          <w:p w14:paraId="502C0A3C" w14:textId="77777777" w:rsidR="007F4791" w:rsidRPr="00A25F2C" w:rsidRDefault="007F4791" w:rsidP="009A601F">
            <w:pPr>
              <w:pStyle w:val="TableBodyText"/>
              <w:keepNext/>
            </w:pPr>
            <w:r w:rsidRPr="00A25F2C">
              <w:t>South Gippsland Water</w:t>
            </w:r>
          </w:p>
        </w:tc>
        <w:tc>
          <w:tcPr>
            <w:tcW w:w="588" w:type="pct"/>
          </w:tcPr>
          <w:p w14:paraId="4491851A" w14:textId="77777777" w:rsidR="007F4791" w:rsidRPr="00A25F2C" w:rsidRDefault="007F4791" w:rsidP="009A601F">
            <w:pPr>
              <w:pStyle w:val="TableBodyText"/>
              <w:keepNext/>
              <w:jc w:val="right"/>
            </w:pPr>
            <w:r w:rsidRPr="00A25F2C">
              <w:t>1,023</w:t>
            </w:r>
          </w:p>
        </w:tc>
        <w:tc>
          <w:tcPr>
            <w:tcW w:w="640" w:type="pct"/>
          </w:tcPr>
          <w:p w14:paraId="1DAC001A" w14:textId="77777777" w:rsidR="007F4791" w:rsidRPr="00A25F2C" w:rsidRDefault="007F4791" w:rsidP="009A601F">
            <w:pPr>
              <w:pStyle w:val="TableBodyText"/>
              <w:keepNext/>
              <w:jc w:val="right"/>
            </w:pPr>
            <w:r w:rsidRPr="00A25F2C">
              <w:t>856</w:t>
            </w:r>
          </w:p>
        </w:tc>
        <w:tc>
          <w:tcPr>
            <w:tcW w:w="588" w:type="pct"/>
          </w:tcPr>
          <w:p w14:paraId="6A8CAE20" w14:textId="77777777" w:rsidR="007F4791" w:rsidRPr="00A25F2C" w:rsidRDefault="007F4791" w:rsidP="009A601F">
            <w:pPr>
              <w:pStyle w:val="TableBodyText"/>
              <w:keepNext/>
              <w:jc w:val="right"/>
            </w:pPr>
            <w:r w:rsidRPr="00A25F2C">
              <w:t>920</w:t>
            </w:r>
          </w:p>
        </w:tc>
        <w:tc>
          <w:tcPr>
            <w:tcW w:w="589" w:type="pct"/>
          </w:tcPr>
          <w:p w14:paraId="3200E2CF" w14:textId="77777777" w:rsidR="007F4791" w:rsidRPr="00A25F2C" w:rsidRDefault="007F4791" w:rsidP="009A601F">
            <w:pPr>
              <w:pStyle w:val="TableBodyText"/>
              <w:keepNext/>
              <w:jc w:val="right"/>
            </w:pPr>
            <w:r w:rsidRPr="00A25F2C">
              <w:t>673</w:t>
            </w:r>
          </w:p>
        </w:tc>
        <w:tc>
          <w:tcPr>
            <w:tcW w:w="588" w:type="pct"/>
          </w:tcPr>
          <w:p w14:paraId="6709E93A" w14:textId="77777777" w:rsidR="007F4791" w:rsidRPr="00A25F2C" w:rsidRDefault="007F4791" w:rsidP="009A601F">
            <w:pPr>
              <w:pStyle w:val="TableBodyText"/>
              <w:keepNext/>
              <w:jc w:val="right"/>
            </w:pPr>
            <w:r w:rsidRPr="00A25F2C">
              <w:t>1,025</w:t>
            </w:r>
          </w:p>
        </w:tc>
        <w:tc>
          <w:tcPr>
            <w:tcW w:w="535" w:type="pct"/>
          </w:tcPr>
          <w:p w14:paraId="02454199" w14:textId="77777777" w:rsidR="007F4791" w:rsidRPr="00A25F2C" w:rsidRDefault="007F4791" w:rsidP="009A601F">
            <w:pPr>
              <w:pStyle w:val="TableBodyText"/>
              <w:keepNext/>
              <w:jc w:val="right"/>
            </w:pPr>
            <w:r w:rsidRPr="00A25F2C">
              <w:t>1,776</w:t>
            </w:r>
          </w:p>
        </w:tc>
      </w:tr>
      <w:tr w:rsidR="007F4791" w:rsidRPr="00A25F2C" w14:paraId="659F010F" w14:textId="77777777" w:rsidTr="0086694E">
        <w:tc>
          <w:tcPr>
            <w:tcW w:w="1471" w:type="pct"/>
          </w:tcPr>
          <w:p w14:paraId="2746CE04" w14:textId="77777777" w:rsidR="007F4791" w:rsidRPr="00A25F2C" w:rsidRDefault="007F4791" w:rsidP="009A601F">
            <w:pPr>
              <w:pStyle w:val="TableBodyText"/>
              <w:keepNext/>
            </w:pPr>
            <w:r w:rsidRPr="00A25F2C">
              <w:t>Westernport Water</w:t>
            </w:r>
          </w:p>
        </w:tc>
        <w:tc>
          <w:tcPr>
            <w:tcW w:w="588" w:type="pct"/>
          </w:tcPr>
          <w:p w14:paraId="625A3A01" w14:textId="77777777" w:rsidR="007F4791" w:rsidRPr="00A25F2C" w:rsidRDefault="007F4791" w:rsidP="009A601F">
            <w:pPr>
              <w:pStyle w:val="TableBodyText"/>
              <w:keepNext/>
              <w:jc w:val="right"/>
            </w:pPr>
            <w:r w:rsidRPr="00A25F2C">
              <w:t>345</w:t>
            </w:r>
          </w:p>
        </w:tc>
        <w:tc>
          <w:tcPr>
            <w:tcW w:w="640" w:type="pct"/>
          </w:tcPr>
          <w:p w14:paraId="3A702E4D" w14:textId="77777777" w:rsidR="007F4791" w:rsidRPr="00A25F2C" w:rsidRDefault="007F4791" w:rsidP="009A601F">
            <w:pPr>
              <w:pStyle w:val="TableBodyText"/>
              <w:keepNext/>
              <w:jc w:val="right"/>
            </w:pPr>
            <w:r w:rsidRPr="00A25F2C">
              <w:t>500</w:t>
            </w:r>
          </w:p>
        </w:tc>
        <w:tc>
          <w:tcPr>
            <w:tcW w:w="588" w:type="pct"/>
          </w:tcPr>
          <w:p w14:paraId="7CAD1610" w14:textId="77777777" w:rsidR="007F4791" w:rsidRPr="00A25F2C" w:rsidRDefault="007F4791" w:rsidP="009A601F">
            <w:pPr>
              <w:pStyle w:val="TableBodyText"/>
              <w:keepNext/>
              <w:jc w:val="right"/>
            </w:pPr>
            <w:r w:rsidRPr="00A25F2C">
              <w:t>500</w:t>
            </w:r>
          </w:p>
        </w:tc>
        <w:tc>
          <w:tcPr>
            <w:tcW w:w="589" w:type="pct"/>
          </w:tcPr>
          <w:p w14:paraId="173458B4" w14:textId="77777777" w:rsidR="007F4791" w:rsidRPr="00A25F2C" w:rsidRDefault="007F4791" w:rsidP="009A601F">
            <w:pPr>
              <w:pStyle w:val="TableBodyText"/>
              <w:keepNext/>
              <w:jc w:val="right"/>
            </w:pPr>
            <w:r w:rsidRPr="00A25F2C">
              <w:t>500</w:t>
            </w:r>
          </w:p>
        </w:tc>
        <w:tc>
          <w:tcPr>
            <w:tcW w:w="588" w:type="pct"/>
          </w:tcPr>
          <w:p w14:paraId="4E3BB2A7" w14:textId="77777777" w:rsidR="007F4791" w:rsidRPr="00A25F2C" w:rsidRDefault="007F4791" w:rsidP="009A601F">
            <w:pPr>
              <w:pStyle w:val="TableBodyText"/>
              <w:keepNext/>
              <w:jc w:val="right"/>
            </w:pPr>
            <w:r w:rsidRPr="00A25F2C">
              <w:t>500</w:t>
            </w:r>
          </w:p>
        </w:tc>
        <w:tc>
          <w:tcPr>
            <w:tcW w:w="535" w:type="pct"/>
          </w:tcPr>
          <w:p w14:paraId="63419286" w14:textId="77777777" w:rsidR="007F4791" w:rsidRPr="00A25F2C" w:rsidRDefault="007F4791" w:rsidP="009A601F">
            <w:pPr>
              <w:pStyle w:val="TableBodyText"/>
              <w:keepNext/>
              <w:jc w:val="right"/>
            </w:pPr>
            <w:r w:rsidRPr="00A25F2C">
              <w:t>500</w:t>
            </w:r>
          </w:p>
        </w:tc>
      </w:tr>
      <w:tr w:rsidR="007F4791" w:rsidRPr="00A25F2C" w14:paraId="53509D05" w14:textId="77777777" w:rsidTr="0086694E">
        <w:tc>
          <w:tcPr>
            <w:tcW w:w="1471" w:type="pct"/>
          </w:tcPr>
          <w:p w14:paraId="1FF8893F" w14:textId="77777777" w:rsidR="007F4791" w:rsidRPr="00A25F2C" w:rsidRDefault="007F4791" w:rsidP="004E1FA1">
            <w:pPr>
              <w:pStyle w:val="TableBodyText"/>
            </w:pPr>
            <w:r w:rsidRPr="00A25F2C">
              <w:rPr>
                <w:b/>
              </w:rPr>
              <w:t>Total</w:t>
            </w:r>
          </w:p>
        </w:tc>
        <w:tc>
          <w:tcPr>
            <w:tcW w:w="588" w:type="pct"/>
          </w:tcPr>
          <w:p w14:paraId="1CB605D6" w14:textId="77777777" w:rsidR="007F4791" w:rsidRPr="00A25F2C" w:rsidRDefault="007F4791" w:rsidP="0086694E">
            <w:pPr>
              <w:pStyle w:val="TableBodyText"/>
              <w:jc w:val="right"/>
            </w:pPr>
            <w:r w:rsidRPr="00A25F2C">
              <w:rPr>
                <w:b/>
              </w:rPr>
              <w:t>434,423</w:t>
            </w:r>
          </w:p>
        </w:tc>
        <w:tc>
          <w:tcPr>
            <w:tcW w:w="640" w:type="pct"/>
          </w:tcPr>
          <w:p w14:paraId="0E0AB551" w14:textId="77777777" w:rsidR="007F4791" w:rsidRPr="00A25F2C" w:rsidRDefault="007F4791" w:rsidP="0086694E">
            <w:pPr>
              <w:pStyle w:val="TableBodyText"/>
              <w:jc w:val="right"/>
            </w:pPr>
            <w:r w:rsidRPr="00A25F2C">
              <w:rPr>
                <w:b/>
              </w:rPr>
              <w:t>452,764</w:t>
            </w:r>
          </w:p>
        </w:tc>
        <w:tc>
          <w:tcPr>
            <w:tcW w:w="588" w:type="pct"/>
          </w:tcPr>
          <w:p w14:paraId="4BDA9E58" w14:textId="77777777" w:rsidR="007F4791" w:rsidRPr="00A25F2C" w:rsidRDefault="007F4791" w:rsidP="0086694E">
            <w:pPr>
              <w:pStyle w:val="TableBodyText"/>
              <w:jc w:val="right"/>
            </w:pPr>
            <w:r w:rsidRPr="00A25F2C">
              <w:rPr>
                <w:b/>
              </w:rPr>
              <w:t>456,179</w:t>
            </w:r>
          </w:p>
        </w:tc>
        <w:tc>
          <w:tcPr>
            <w:tcW w:w="589" w:type="pct"/>
          </w:tcPr>
          <w:p w14:paraId="1CF97F78" w14:textId="77777777" w:rsidR="007F4791" w:rsidRPr="00A25F2C" w:rsidRDefault="007F4791" w:rsidP="0086694E">
            <w:pPr>
              <w:pStyle w:val="TableBodyText"/>
              <w:jc w:val="right"/>
            </w:pPr>
            <w:r w:rsidRPr="00A25F2C">
              <w:rPr>
                <w:b/>
              </w:rPr>
              <w:t>461,188</w:t>
            </w:r>
          </w:p>
        </w:tc>
        <w:tc>
          <w:tcPr>
            <w:tcW w:w="588" w:type="pct"/>
          </w:tcPr>
          <w:p w14:paraId="2A9BEED8" w14:textId="77777777" w:rsidR="007F4791" w:rsidRPr="00A25F2C" w:rsidRDefault="007F4791" w:rsidP="0086694E">
            <w:pPr>
              <w:pStyle w:val="TableBodyText"/>
              <w:jc w:val="right"/>
            </w:pPr>
            <w:r w:rsidRPr="00A25F2C">
              <w:rPr>
                <w:b/>
              </w:rPr>
              <w:t>471,387</w:t>
            </w:r>
          </w:p>
        </w:tc>
        <w:tc>
          <w:tcPr>
            <w:tcW w:w="535" w:type="pct"/>
          </w:tcPr>
          <w:p w14:paraId="3B269C8D" w14:textId="77777777" w:rsidR="007F4791" w:rsidRPr="00A25F2C" w:rsidRDefault="007F4791" w:rsidP="0086694E">
            <w:pPr>
              <w:pStyle w:val="TableBodyText"/>
              <w:jc w:val="right"/>
              <w:rPr>
                <w:b/>
              </w:rPr>
            </w:pPr>
            <w:r w:rsidRPr="00A25F2C">
              <w:rPr>
                <w:b/>
              </w:rPr>
              <w:t>476,078</w:t>
            </w:r>
          </w:p>
        </w:tc>
      </w:tr>
    </w:tbl>
    <w:p w14:paraId="27270672" w14:textId="28E628BE" w:rsidR="00143D6B" w:rsidRDefault="007F4791" w:rsidP="007F4791">
      <w:pPr>
        <w:pStyle w:val="BodyText"/>
      </w:pPr>
      <w:r w:rsidRPr="00A25F2C">
        <w:t>All tables subject to rounding</w:t>
      </w:r>
      <w:r w:rsidR="0086694E">
        <w:t>.</w:t>
      </w:r>
    </w:p>
    <w:p w14:paraId="0A336752" w14:textId="756BDD38" w:rsidR="007F4791" w:rsidRPr="00A25F2C" w:rsidRDefault="0086694E" w:rsidP="0086694E">
      <w:pPr>
        <w:pStyle w:val="Caption"/>
      </w:pPr>
      <w:r w:rsidRPr="0086694E">
        <w:t>Table E7 – Sewerage Demand Forecast</w:t>
      </w:r>
    </w:p>
    <w:tbl>
      <w:tblPr>
        <w:tblStyle w:val="TableProfessional"/>
        <w:tblW w:w="5000" w:type="pct"/>
        <w:tblLook w:val="0620" w:firstRow="1" w:lastRow="0" w:firstColumn="0" w:lastColumn="0" w:noHBand="1" w:noVBand="1"/>
      </w:tblPr>
      <w:tblGrid>
        <w:gridCol w:w="2833"/>
        <w:gridCol w:w="1133"/>
        <w:gridCol w:w="1233"/>
        <w:gridCol w:w="1133"/>
        <w:gridCol w:w="1135"/>
        <w:gridCol w:w="1133"/>
        <w:gridCol w:w="1031"/>
      </w:tblGrid>
      <w:tr w:rsidR="00F13D2F" w:rsidRPr="00A25F2C" w14:paraId="45E38260" w14:textId="77777777" w:rsidTr="00F13D2F">
        <w:trPr>
          <w:cnfStyle w:val="100000000000" w:firstRow="1" w:lastRow="0" w:firstColumn="0" w:lastColumn="0" w:oddVBand="0" w:evenVBand="0" w:oddHBand="0" w:evenHBand="0" w:firstRowFirstColumn="0" w:firstRowLastColumn="0" w:lastRowFirstColumn="0" w:lastRowLastColumn="0"/>
        </w:trPr>
        <w:tc>
          <w:tcPr>
            <w:tcW w:w="1471" w:type="pct"/>
          </w:tcPr>
          <w:p w14:paraId="710F595A" w14:textId="77777777" w:rsidR="007F4791" w:rsidRPr="00A25F2C" w:rsidRDefault="007F4791" w:rsidP="004E1FA1">
            <w:pPr>
              <w:pStyle w:val="TableBodyText"/>
            </w:pPr>
            <w:r w:rsidRPr="00A25F2C">
              <w:t>Volume (ML)</w:t>
            </w:r>
          </w:p>
        </w:tc>
        <w:tc>
          <w:tcPr>
            <w:tcW w:w="588" w:type="pct"/>
          </w:tcPr>
          <w:p w14:paraId="74E3C41C" w14:textId="77777777" w:rsidR="007F4791" w:rsidRPr="00A25F2C" w:rsidRDefault="007F4791" w:rsidP="00F13D2F">
            <w:pPr>
              <w:pStyle w:val="TableBodyText"/>
              <w:jc w:val="right"/>
            </w:pPr>
            <w:r w:rsidRPr="00A25F2C">
              <w:t>2022-23</w:t>
            </w:r>
          </w:p>
          <w:p w14:paraId="60E74E19" w14:textId="77777777" w:rsidR="007F4791" w:rsidRPr="00A25F2C" w:rsidRDefault="007F4791" w:rsidP="00F13D2F">
            <w:pPr>
              <w:pStyle w:val="TableBodyText"/>
              <w:jc w:val="right"/>
            </w:pPr>
            <w:r w:rsidRPr="00A25F2C">
              <w:t>Forecast</w:t>
            </w:r>
          </w:p>
        </w:tc>
        <w:tc>
          <w:tcPr>
            <w:tcW w:w="640" w:type="pct"/>
          </w:tcPr>
          <w:p w14:paraId="24ABEC86" w14:textId="77777777" w:rsidR="007F4791" w:rsidRPr="00A25F2C" w:rsidRDefault="007F4791" w:rsidP="00F13D2F">
            <w:pPr>
              <w:pStyle w:val="TableBodyText"/>
              <w:jc w:val="right"/>
            </w:pPr>
            <w:r w:rsidRPr="00A25F2C">
              <w:t>2023-24</w:t>
            </w:r>
          </w:p>
        </w:tc>
        <w:tc>
          <w:tcPr>
            <w:tcW w:w="588" w:type="pct"/>
          </w:tcPr>
          <w:p w14:paraId="729DA98B" w14:textId="77777777" w:rsidR="007F4791" w:rsidRPr="00A25F2C" w:rsidRDefault="007F4791" w:rsidP="00F13D2F">
            <w:pPr>
              <w:pStyle w:val="TableBodyText"/>
              <w:jc w:val="right"/>
            </w:pPr>
            <w:r w:rsidRPr="00A25F2C">
              <w:t>2024-25</w:t>
            </w:r>
          </w:p>
        </w:tc>
        <w:tc>
          <w:tcPr>
            <w:tcW w:w="589" w:type="pct"/>
          </w:tcPr>
          <w:p w14:paraId="257E23AC" w14:textId="77777777" w:rsidR="007F4791" w:rsidRPr="00A25F2C" w:rsidRDefault="007F4791" w:rsidP="00F13D2F">
            <w:pPr>
              <w:pStyle w:val="TableBodyText"/>
              <w:jc w:val="right"/>
            </w:pPr>
            <w:r w:rsidRPr="00A25F2C">
              <w:t>2025-26</w:t>
            </w:r>
          </w:p>
        </w:tc>
        <w:tc>
          <w:tcPr>
            <w:tcW w:w="588" w:type="pct"/>
          </w:tcPr>
          <w:p w14:paraId="732B3FCB" w14:textId="77777777" w:rsidR="007F4791" w:rsidRPr="00A25F2C" w:rsidRDefault="007F4791" w:rsidP="00F13D2F">
            <w:pPr>
              <w:pStyle w:val="TableBodyText"/>
              <w:jc w:val="right"/>
            </w:pPr>
            <w:r w:rsidRPr="00A25F2C">
              <w:t>2026-27</w:t>
            </w:r>
          </w:p>
        </w:tc>
        <w:tc>
          <w:tcPr>
            <w:tcW w:w="535" w:type="pct"/>
          </w:tcPr>
          <w:p w14:paraId="5D3B456E" w14:textId="77777777" w:rsidR="007F4791" w:rsidRPr="00A25F2C" w:rsidRDefault="007F4791" w:rsidP="00F13D2F">
            <w:pPr>
              <w:pStyle w:val="TableBodyText"/>
              <w:jc w:val="right"/>
            </w:pPr>
            <w:r w:rsidRPr="00A25F2C">
              <w:t>2027-28</w:t>
            </w:r>
          </w:p>
        </w:tc>
      </w:tr>
      <w:tr w:rsidR="007F4791" w:rsidRPr="00A25F2C" w14:paraId="59E7093A" w14:textId="77777777" w:rsidTr="00F13D2F">
        <w:tc>
          <w:tcPr>
            <w:tcW w:w="1471" w:type="pct"/>
          </w:tcPr>
          <w:p w14:paraId="440D688D" w14:textId="77777777" w:rsidR="007F4791" w:rsidRPr="00A25F2C" w:rsidRDefault="007F4791" w:rsidP="004E1FA1">
            <w:pPr>
              <w:pStyle w:val="TableBodyText"/>
            </w:pPr>
            <w:r w:rsidRPr="00A25F2C">
              <w:t>Greater Western Water</w:t>
            </w:r>
          </w:p>
        </w:tc>
        <w:tc>
          <w:tcPr>
            <w:tcW w:w="588" w:type="pct"/>
          </w:tcPr>
          <w:p w14:paraId="5170D498" w14:textId="77777777" w:rsidR="007F4791" w:rsidRPr="00A25F2C" w:rsidRDefault="007F4791" w:rsidP="00F13D2F">
            <w:pPr>
              <w:pStyle w:val="TableBodyText"/>
              <w:jc w:val="right"/>
            </w:pPr>
            <w:r w:rsidRPr="00A25F2C">
              <w:t>92,497</w:t>
            </w:r>
          </w:p>
        </w:tc>
        <w:tc>
          <w:tcPr>
            <w:tcW w:w="640" w:type="pct"/>
          </w:tcPr>
          <w:p w14:paraId="7098B038" w14:textId="77777777" w:rsidR="007F4791" w:rsidRPr="00A25F2C" w:rsidRDefault="007F4791" w:rsidP="00F13D2F">
            <w:pPr>
              <w:pStyle w:val="TableBodyText"/>
              <w:jc w:val="right"/>
            </w:pPr>
            <w:r w:rsidRPr="00A25F2C">
              <w:t>87,903</w:t>
            </w:r>
          </w:p>
        </w:tc>
        <w:tc>
          <w:tcPr>
            <w:tcW w:w="588" w:type="pct"/>
          </w:tcPr>
          <w:p w14:paraId="2CAD4EDA" w14:textId="77777777" w:rsidR="007F4791" w:rsidRPr="00A25F2C" w:rsidRDefault="007F4791" w:rsidP="00F13D2F">
            <w:pPr>
              <w:pStyle w:val="TableBodyText"/>
              <w:jc w:val="right"/>
            </w:pPr>
            <w:r w:rsidRPr="00A25F2C">
              <w:t>89,075</w:t>
            </w:r>
          </w:p>
        </w:tc>
        <w:tc>
          <w:tcPr>
            <w:tcW w:w="589" w:type="pct"/>
          </w:tcPr>
          <w:p w14:paraId="0FB6DA70" w14:textId="77777777" w:rsidR="007F4791" w:rsidRPr="00A25F2C" w:rsidRDefault="007F4791" w:rsidP="00F13D2F">
            <w:pPr>
              <w:pStyle w:val="TableBodyText"/>
              <w:jc w:val="right"/>
            </w:pPr>
            <w:r w:rsidRPr="00A25F2C">
              <w:t>90,233</w:t>
            </w:r>
          </w:p>
        </w:tc>
        <w:tc>
          <w:tcPr>
            <w:tcW w:w="588" w:type="pct"/>
          </w:tcPr>
          <w:p w14:paraId="74E6BAF9" w14:textId="77777777" w:rsidR="007F4791" w:rsidRPr="00A25F2C" w:rsidRDefault="007F4791" w:rsidP="00F13D2F">
            <w:pPr>
              <w:pStyle w:val="TableBodyText"/>
              <w:jc w:val="right"/>
            </w:pPr>
            <w:r w:rsidRPr="00A25F2C">
              <w:t>91,475</w:t>
            </w:r>
          </w:p>
        </w:tc>
        <w:tc>
          <w:tcPr>
            <w:tcW w:w="535" w:type="pct"/>
          </w:tcPr>
          <w:p w14:paraId="529FDCD0" w14:textId="77777777" w:rsidR="007F4791" w:rsidRPr="00A25F2C" w:rsidRDefault="007F4791" w:rsidP="00F13D2F">
            <w:pPr>
              <w:pStyle w:val="TableBodyText"/>
              <w:jc w:val="right"/>
            </w:pPr>
            <w:r w:rsidRPr="00A25F2C">
              <w:t>92,718</w:t>
            </w:r>
          </w:p>
        </w:tc>
      </w:tr>
      <w:tr w:rsidR="007F4791" w:rsidRPr="00A25F2C" w14:paraId="7D2BF20F" w14:textId="77777777" w:rsidTr="00F13D2F">
        <w:tc>
          <w:tcPr>
            <w:tcW w:w="1471" w:type="pct"/>
          </w:tcPr>
          <w:p w14:paraId="0F59E4F8" w14:textId="77777777" w:rsidR="007F4791" w:rsidRPr="00A25F2C" w:rsidRDefault="007F4791" w:rsidP="004E1FA1">
            <w:pPr>
              <w:pStyle w:val="TableBodyText"/>
            </w:pPr>
            <w:proofErr w:type="gramStart"/>
            <w:r w:rsidRPr="00A25F2C">
              <w:t>South East</w:t>
            </w:r>
            <w:proofErr w:type="gramEnd"/>
            <w:r w:rsidRPr="00A25F2C">
              <w:t xml:space="preserve"> Water</w:t>
            </w:r>
          </w:p>
        </w:tc>
        <w:tc>
          <w:tcPr>
            <w:tcW w:w="588" w:type="pct"/>
          </w:tcPr>
          <w:p w14:paraId="06B1AAFB" w14:textId="77777777" w:rsidR="007F4791" w:rsidRPr="00A25F2C" w:rsidRDefault="007F4791" w:rsidP="00F13D2F">
            <w:pPr>
              <w:pStyle w:val="TableBodyText"/>
              <w:jc w:val="right"/>
            </w:pPr>
            <w:r w:rsidRPr="00A25F2C">
              <w:t>131,710</w:t>
            </w:r>
          </w:p>
        </w:tc>
        <w:tc>
          <w:tcPr>
            <w:tcW w:w="640" w:type="pct"/>
          </w:tcPr>
          <w:p w14:paraId="68F90B17" w14:textId="77777777" w:rsidR="007F4791" w:rsidRPr="00A25F2C" w:rsidRDefault="007F4791" w:rsidP="00F13D2F">
            <w:pPr>
              <w:pStyle w:val="TableBodyText"/>
              <w:jc w:val="right"/>
            </w:pPr>
            <w:r w:rsidRPr="00A25F2C">
              <w:t>109,929</w:t>
            </w:r>
          </w:p>
        </w:tc>
        <w:tc>
          <w:tcPr>
            <w:tcW w:w="588" w:type="pct"/>
          </w:tcPr>
          <w:p w14:paraId="352B5C21" w14:textId="77777777" w:rsidR="007F4791" w:rsidRPr="00A25F2C" w:rsidRDefault="007F4791" w:rsidP="00F13D2F">
            <w:pPr>
              <w:pStyle w:val="TableBodyText"/>
              <w:jc w:val="right"/>
            </w:pPr>
            <w:r w:rsidRPr="00A25F2C">
              <w:t>110,219</w:t>
            </w:r>
          </w:p>
        </w:tc>
        <w:tc>
          <w:tcPr>
            <w:tcW w:w="589" w:type="pct"/>
          </w:tcPr>
          <w:p w14:paraId="5B7A319B" w14:textId="77777777" w:rsidR="007F4791" w:rsidRPr="00A25F2C" w:rsidRDefault="007F4791" w:rsidP="00F13D2F">
            <w:pPr>
              <w:pStyle w:val="TableBodyText"/>
              <w:jc w:val="right"/>
            </w:pPr>
            <w:r w:rsidRPr="00A25F2C">
              <w:t>110,601</w:t>
            </w:r>
          </w:p>
        </w:tc>
        <w:tc>
          <w:tcPr>
            <w:tcW w:w="588" w:type="pct"/>
          </w:tcPr>
          <w:p w14:paraId="79CDFC6B" w14:textId="77777777" w:rsidR="007F4791" w:rsidRPr="00A25F2C" w:rsidRDefault="007F4791" w:rsidP="00F13D2F">
            <w:pPr>
              <w:pStyle w:val="TableBodyText"/>
              <w:jc w:val="right"/>
            </w:pPr>
            <w:r w:rsidRPr="00A25F2C">
              <w:t>111,072</w:t>
            </w:r>
          </w:p>
        </w:tc>
        <w:tc>
          <w:tcPr>
            <w:tcW w:w="535" w:type="pct"/>
          </w:tcPr>
          <w:p w14:paraId="6E599166" w14:textId="77777777" w:rsidR="007F4791" w:rsidRPr="00A25F2C" w:rsidRDefault="007F4791" w:rsidP="00F13D2F">
            <w:pPr>
              <w:pStyle w:val="TableBodyText"/>
              <w:jc w:val="right"/>
            </w:pPr>
            <w:r w:rsidRPr="00A25F2C">
              <w:t>111,588</w:t>
            </w:r>
          </w:p>
        </w:tc>
      </w:tr>
      <w:tr w:rsidR="007F4791" w:rsidRPr="00A25F2C" w14:paraId="587E2B11" w14:textId="77777777" w:rsidTr="00F13D2F">
        <w:tc>
          <w:tcPr>
            <w:tcW w:w="1471" w:type="pct"/>
          </w:tcPr>
          <w:p w14:paraId="19F21AF8" w14:textId="77777777" w:rsidR="007F4791" w:rsidRPr="00A25F2C" w:rsidRDefault="007F4791" w:rsidP="004E1FA1">
            <w:pPr>
              <w:pStyle w:val="TableBodyText"/>
            </w:pPr>
            <w:r w:rsidRPr="00A25F2C">
              <w:t>Yarra Valley Water</w:t>
            </w:r>
          </w:p>
        </w:tc>
        <w:tc>
          <w:tcPr>
            <w:tcW w:w="588" w:type="pct"/>
          </w:tcPr>
          <w:p w14:paraId="780156C2" w14:textId="77777777" w:rsidR="007F4791" w:rsidRPr="00A25F2C" w:rsidRDefault="007F4791" w:rsidP="00F13D2F">
            <w:pPr>
              <w:pStyle w:val="TableBodyText"/>
              <w:jc w:val="right"/>
            </w:pPr>
            <w:r w:rsidRPr="00A25F2C">
              <w:t>138,903</w:t>
            </w:r>
          </w:p>
        </w:tc>
        <w:tc>
          <w:tcPr>
            <w:tcW w:w="640" w:type="pct"/>
          </w:tcPr>
          <w:p w14:paraId="666A594B" w14:textId="77777777" w:rsidR="007F4791" w:rsidRPr="00A25F2C" w:rsidRDefault="007F4791" w:rsidP="00F13D2F">
            <w:pPr>
              <w:pStyle w:val="TableBodyText"/>
              <w:jc w:val="right"/>
            </w:pPr>
            <w:r w:rsidRPr="00A25F2C">
              <w:t>124,068</w:t>
            </w:r>
          </w:p>
        </w:tc>
        <w:tc>
          <w:tcPr>
            <w:tcW w:w="588" w:type="pct"/>
          </w:tcPr>
          <w:p w14:paraId="18F0862A" w14:textId="77777777" w:rsidR="007F4791" w:rsidRPr="00A25F2C" w:rsidRDefault="007F4791" w:rsidP="00F13D2F">
            <w:pPr>
              <w:pStyle w:val="TableBodyText"/>
              <w:jc w:val="right"/>
            </w:pPr>
            <w:r w:rsidRPr="00A25F2C">
              <w:t>125,223</w:t>
            </w:r>
          </w:p>
        </w:tc>
        <w:tc>
          <w:tcPr>
            <w:tcW w:w="589" w:type="pct"/>
          </w:tcPr>
          <w:p w14:paraId="5E57ACA8" w14:textId="77777777" w:rsidR="007F4791" w:rsidRPr="00A25F2C" w:rsidRDefault="007F4791" w:rsidP="00F13D2F">
            <w:pPr>
              <w:pStyle w:val="TableBodyText"/>
              <w:jc w:val="right"/>
            </w:pPr>
            <w:r w:rsidRPr="00A25F2C">
              <w:t>126,363</w:t>
            </w:r>
          </w:p>
        </w:tc>
        <w:tc>
          <w:tcPr>
            <w:tcW w:w="588" w:type="pct"/>
          </w:tcPr>
          <w:p w14:paraId="64879A19" w14:textId="77777777" w:rsidR="007F4791" w:rsidRPr="00A25F2C" w:rsidRDefault="007F4791" w:rsidP="00F13D2F">
            <w:pPr>
              <w:pStyle w:val="TableBodyText"/>
              <w:jc w:val="right"/>
            </w:pPr>
            <w:r w:rsidRPr="00A25F2C">
              <w:t>127,182</w:t>
            </w:r>
          </w:p>
        </w:tc>
        <w:tc>
          <w:tcPr>
            <w:tcW w:w="535" w:type="pct"/>
          </w:tcPr>
          <w:p w14:paraId="412F8E98" w14:textId="77777777" w:rsidR="007F4791" w:rsidRPr="00A25F2C" w:rsidRDefault="007F4791" w:rsidP="00F13D2F">
            <w:pPr>
              <w:pStyle w:val="TableBodyText"/>
              <w:jc w:val="right"/>
            </w:pPr>
            <w:r w:rsidRPr="00A25F2C">
              <w:t>127,925</w:t>
            </w:r>
          </w:p>
        </w:tc>
      </w:tr>
      <w:tr w:rsidR="007F4791" w:rsidRPr="00A25F2C" w14:paraId="1E0E87A2" w14:textId="77777777" w:rsidTr="00F13D2F">
        <w:tc>
          <w:tcPr>
            <w:tcW w:w="1471" w:type="pct"/>
          </w:tcPr>
          <w:p w14:paraId="7B4720CF" w14:textId="77777777" w:rsidR="007F4791" w:rsidRPr="00A25F2C" w:rsidRDefault="007F4791" w:rsidP="004E1FA1">
            <w:pPr>
              <w:pStyle w:val="TableBodyText"/>
            </w:pPr>
            <w:r w:rsidRPr="00A25F2C">
              <w:rPr>
                <w:b/>
              </w:rPr>
              <w:t>Total</w:t>
            </w:r>
          </w:p>
        </w:tc>
        <w:tc>
          <w:tcPr>
            <w:tcW w:w="588" w:type="pct"/>
          </w:tcPr>
          <w:p w14:paraId="72C2AC24" w14:textId="77777777" w:rsidR="007F4791" w:rsidRPr="00A25F2C" w:rsidRDefault="007F4791" w:rsidP="00F13D2F">
            <w:pPr>
              <w:pStyle w:val="TableBodyText"/>
              <w:jc w:val="right"/>
            </w:pPr>
            <w:r w:rsidRPr="00A25F2C">
              <w:rPr>
                <w:b/>
              </w:rPr>
              <w:t>363,110</w:t>
            </w:r>
          </w:p>
        </w:tc>
        <w:tc>
          <w:tcPr>
            <w:tcW w:w="640" w:type="pct"/>
          </w:tcPr>
          <w:p w14:paraId="3152E687" w14:textId="77777777" w:rsidR="007F4791" w:rsidRPr="00A25F2C" w:rsidRDefault="007F4791" w:rsidP="00F13D2F">
            <w:pPr>
              <w:pStyle w:val="TableBodyText"/>
              <w:jc w:val="right"/>
            </w:pPr>
            <w:r w:rsidRPr="00A25F2C">
              <w:rPr>
                <w:b/>
              </w:rPr>
              <w:t>321,900</w:t>
            </w:r>
          </w:p>
        </w:tc>
        <w:tc>
          <w:tcPr>
            <w:tcW w:w="588" w:type="pct"/>
          </w:tcPr>
          <w:p w14:paraId="54628FD9" w14:textId="77777777" w:rsidR="007F4791" w:rsidRPr="00A25F2C" w:rsidRDefault="007F4791" w:rsidP="00F13D2F">
            <w:pPr>
              <w:pStyle w:val="TableBodyText"/>
              <w:jc w:val="right"/>
            </w:pPr>
            <w:r w:rsidRPr="00A25F2C">
              <w:rPr>
                <w:b/>
              </w:rPr>
              <w:t>324,517</w:t>
            </w:r>
          </w:p>
        </w:tc>
        <w:tc>
          <w:tcPr>
            <w:tcW w:w="589" w:type="pct"/>
          </w:tcPr>
          <w:p w14:paraId="64356A9F" w14:textId="77777777" w:rsidR="007F4791" w:rsidRPr="00A25F2C" w:rsidRDefault="007F4791" w:rsidP="00F13D2F">
            <w:pPr>
              <w:pStyle w:val="TableBodyText"/>
              <w:jc w:val="right"/>
            </w:pPr>
            <w:r w:rsidRPr="00A25F2C">
              <w:rPr>
                <w:b/>
              </w:rPr>
              <w:t>327,197</w:t>
            </w:r>
          </w:p>
        </w:tc>
        <w:tc>
          <w:tcPr>
            <w:tcW w:w="588" w:type="pct"/>
          </w:tcPr>
          <w:p w14:paraId="70483A17" w14:textId="77777777" w:rsidR="007F4791" w:rsidRPr="00A25F2C" w:rsidRDefault="007F4791" w:rsidP="00F13D2F">
            <w:pPr>
              <w:pStyle w:val="TableBodyText"/>
              <w:jc w:val="right"/>
            </w:pPr>
            <w:r w:rsidRPr="00A25F2C">
              <w:rPr>
                <w:b/>
              </w:rPr>
              <w:t>329,729</w:t>
            </w:r>
          </w:p>
        </w:tc>
        <w:tc>
          <w:tcPr>
            <w:tcW w:w="535" w:type="pct"/>
          </w:tcPr>
          <w:p w14:paraId="1DE96684" w14:textId="77777777" w:rsidR="007F4791" w:rsidRPr="00A25F2C" w:rsidRDefault="007F4791" w:rsidP="00F13D2F">
            <w:pPr>
              <w:pStyle w:val="TableBodyText"/>
              <w:jc w:val="right"/>
              <w:rPr>
                <w:b/>
              </w:rPr>
            </w:pPr>
            <w:r w:rsidRPr="00A25F2C">
              <w:rPr>
                <w:b/>
              </w:rPr>
              <w:t>332,231</w:t>
            </w:r>
          </w:p>
        </w:tc>
      </w:tr>
    </w:tbl>
    <w:p w14:paraId="2747BBB9" w14:textId="6D0C6782" w:rsidR="00143D6B" w:rsidRDefault="007F4791" w:rsidP="007F4791">
      <w:pPr>
        <w:pStyle w:val="BodyText"/>
      </w:pPr>
      <w:r w:rsidRPr="00A25F2C">
        <w:t>All tables subject to rounding</w:t>
      </w:r>
    </w:p>
    <w:p w14:paraId="192992A7" w14:textId="2E682C38" w:rsidR="007F4791" w:rsidRPr="00A25F2C" w:rsidRDefault="0086694E" w:rsidP="0086694E">
      <w:pPr>
        <w:pStyle w:val="Caption"/>
      </w:pPr>
      <w:r w:rsidRPr="0086694E">
        <w:t>Table E8 – Waterways and Drainage Forecast</w:t>
      </w:r>
    </w:p>
    <w:tbl>
      <w:tblPr>
        <w:tblStyle w:val="TableProfessional"/>
        <w:tblW w:w="5000" w:type="pct"/>
        <w:tblLook w:val="0620" w:firstRow="1" w:lastRow="0" w:firstColumn="0" w:lastColumn="0" w:noHBand="1" w:noVBand="1"/>
      </w:tblPr>
      <w:tblGrid>
        <w:gridCol w:w="2833"/>
        <w:gridCol w:w="1133"/>
        <w:gridCol w:w="1233"/>
        <w:gridCol w:w="1133"/>
        <w:gridCol w:w="1135"/>
        <w:gridCol w:w="1133"/>
        <w:gridCol w:w="1031"/>
      </w:tblGrid>
      <w:tr w:rsidR="00F13D2F" w:rsidRPr="00A25F2C" w14:paraId="5606D942" w14:textId="77777777" w:rsidTr="00F13D2F">
        <w:trPr>
          <w:cnfStyle w:val="100000000000" w:firstRow="1" w:lastRow="0" w:firstColumn="0" w:lastColumn="0" w:oddVBand="0" w:evenVBand="0" w:oddHBand="0" w:evenHBand="0" w:firstRowFirstColumn="0" w:firstRowLastColumn="0" w:lastRowFirstColumn="0" w:lastRowLastColumn="0"/>
        </w:trPr>
        <w:tc>
          <w:tcPr>
            <w:tcW w:w="1471" w:type="pct"/>
          </w:tcPr>
          <w:p w14:paraId="6AEBC916" w14:textId="77777777" w:rsidR="007F4791" w:rsidRPr="00A25F2C" w:rsidRDefault="007F4791" w:rsidP="004E1FA1">
            <w:pPr>
              <w:pStyle w:val="TableBodyText"/>
            </w:pPr>
            <w:r w:rsidRPr="00A25F2C">
              <w:t>Customers (‘000)</w:t>
            </w:r>
          </w:p>
        </w:tc>
        <w:tc>
          <w:tcPr>
            <w:tcW w:w="588" w:type="pct"/>
          </w:tcPr>
          <w:p w14:paraId="728E4893" w14:textId="77777777" w:rsidR="007F4791" w:rsidRPr="00A25F2C" w:rsidRDefault="007F4791" w:rsidP="00F13D2F">
            <w:pPr>
              <w:pStyle w:val="TableBodyText"/>
              <w:jc w:val="right"/>
            </w:pPr>
            <w:r w:rsidRPr="00A25F2C">
              <w:t>2022-23</w:t>
            </w:r>
          </w:p>
          <w:p w14:paraId="57832BB5" w14:textId="77777777" w:rsidR="007F4791" w:rsidRPr="00A25F2C" w:rsidRDefault="007F4791" w:rsidP="00F13D2F">
            <w:pPr>
              <w:pStyle w:val="TableBodyText"/>
              <w:jc w:val="right"/>
            </w:pPr>
            <w:r w:rsidRPr="00A25F2C">
              <w:t>Forecast*</w:t>
            </w:r>
          </w:p>
        </w:tc>
        <w:tc>
          <w:tcPr>
            <w:tcW w:w="640" w:type="pct"/>
          </w:tcPr>
          <w:p w14:paraId="5E30A5C7" w14:textId="77777777" w:rsidR="007F4791" w:rsidRPr="00A25F2C" w:rsidRDefault="007F4791" w:rsidP="00F13D2F">
            <w:pPr>
              <w:pStyle w:val="TableBodyText"/>
              <w:jc w:val="right"/>
            </w:pPr>
            <w:r w:rsidRPr="00A25F2C">
              <w:t>2023-24</w:t>
            </w:r>
          </w:p>
        </w:tc>
        <w:tc>
          <w:tcPr>
            <w:tcW w:w="588" w:type="pct"/>
          </w:tcPr>
          <w:p w14:paraId="0B54BA22" w14:textId="77777777" w:rsidR="007F4791" w:rsidRPr="00A25F2C" w:rsidRDefault="007F4791" w:rsidP="00F13D2F">
            <w:pPr>
              <w:pStyle w:val="TableBodyText"/>
              <w:jc w:val="right"/>
            </w:pPr>
            <w:r w:rsidRPr="00A25F2C">
              <w:t>2024-25</w:t>
            </w:r>
          </w:p>
        </w:tc>
        <w:tc>
          <w:tcPr>
            <w:tcW w:w="589" w:type="pct"/>
          </w:tcPr>
          <w:p w14:paraId="4C7560F9" w14:textId="77777777" w:rsidR="007F4791" w:rsidRPr="00A25F2C" w:rsidRDefault="007F4791" w:rsidP="00F13D2F">
            <w:pPr>
              <w:pStyle w:val="TableBodyText"/>
              <w:jc w:val="right"/>
            </w:pPr>
            <w:r w:rsidRPr="00A25F2C">
              <w:t>2025-26</w:t>
            </w:r>
          </w:p>
        </w:tc>
        <w:tc>
          <w:tcPr>
            <w:tcW w:w="588" w:type="pct"/>
          </w:tcPr>
          <w:p w14:paraId="4E161A41" w14:textId="77777777" w:rsidR="007F4791" w:rsidRPr="00A25F2C" w:rsidRDefault="007F4791" w:rsidP="00F13D2F">
            <w:pPr>
              <w:pStyle w:val="TableBodyText"/>
              <w:jc w:val="right"/>
            </w:pPr>
            <w:r w:rsidRPr="00A25F2C">
              <w:t>2026-27</w:t>
            </w:r>
          </w:p>
        </w:tc>
        <w:tc>
          <w:tcPr>
            <w:tcW w:w="535" w:type="pct"/>
          </w:tcPr>
          <w:p w14:paraId="40FA1BBC" w14:textId="77777777" w:rsidR="007F4791" w:rsidRPr="00A25F2C" w:rsidRDefault="007F4791" w:rsidP="00F13D2F">
            <w:pPr>
              <w:pStyle w:val="TableBodyText"/>
              <w:jc w:val="right"/>
            </w:pPr>
            <w:r w:rsidRPr="00A25F2C">
              <w:t>2027-28</w:t>
            </w:r>
          </w:p>
        </w:tc>
      </w:tr>
      <w:tr w:rsidR="007F4791" w:rsidRPr="00A25F2C" w14:paraId="5E4CB651" w14:textId="77777777" w:rsidTr="00F13D2F">
        <w:tc>
          <w:tcPr>
            <w:tcW w:w="1471" w:type="pct"/>
          </w:tcPr>
          <w:p w14:paraId="5FC98A46" w14:textId="77777777" w:rsidR="007F4791" w:rsidRPr="00A25F2C" w:rsidRDefault="007F4791" w:rsidP="004E1FA1">
            <w:pPr>
              <w:pStyle w:val="TableBodyText"/>
            </w:pPr>
            <w:r w:rsidRPr="00A25F2C">
              <w:t>Residential</w:t>
            </w:r>
          </w:p>
        </w:tc>
        <w:tc>
          <w:tcPr>
            <w:tcW w:w="588" w:type="pct"/>
          </w:tcPr>
          <w:p w14:paraId="51CA7C57" w14:textId="77777777" w:rsidR="007F4791" w:rsidRPr="00A25F2C" w:rsidRDefault="007F4791" w:rsidP="00F13D2F">
            <w:pPr>
              <w:pStyle w:val="TableBodyText"/>
              <w:jc w:val="right"/>
            </w:pPr>
            <w:r w:rsidRPr="00A25F2C">
              <w:t>2,072.7</w:t>
            </w:r>
          </w:p>
        </w:tc>
        <w:tc>
          <w:tcPr>
            <w:tcW w:w="640" w:type="pct"/>
          </w:tcPr>
          <w:p w14:paraId="6010F86F" w14:textId="77777777" w:rsidR="007F4791" w:rsidRPr="00A25F2C" w:rsidRDefault="007F4791" w:rsidP="00F13D2F">
            <w:pPr>
              <w:pStyle w:val="TableBodyText"/>
              <w:jc w:val="right"/>
            </w:pPr>
            <w:r w:rsidRPr="00A25F2C">
              <w:t>2,113.9</w:t>
            </w:r>
          </w:p>
        </w:tc>
        <w:tc>
          <w:tcPr>
            <w:tcW w:w="588" w:type="pct"/>
          </w:tcPr>
          <w:p w14:paraId="0617AA92" w14:textId="77777777" w:rsidR="007F4791" w:rsidRPr="00A25F2C" w:rsidRDefault="007F4791" w:rsidP="00F13D2F">
            <w:pPr>
              <w:pStyle w:val="TableBodyText"/>
              <w:jc w:val="right"/>
            </w:pPr>
            <w:r w:rsidRPr="00A25F2C">
              <w:t>2,156.0</w:t>
            </w:r>
          </w:p>
        </w:tc>
        <w:tc>
          <w:tcPr>
            <w:tcW w:w="589" w:type="pct"/>
          </w:tcPr>
          <w:p w14:paraId="54F75A43" w14:textId="77777777" w:rsidR="007F4791" w:rsidRPr="00A25F2C" w:rsidRDefault="007F4791" w:rsidP="00F13D2F">
            <w:pPr>
              <w:pStyle w:val="TableBodyText"/>
              <w:jc w:val="right"/>
            </w:pPr>
            <w:r w:rsidRPr="00A25F2C">
              <w:t>2,198.9</w:t>
            </w:r>
          </w:p>
        </w:tc>
        <w:tc>
          <w:tcPr>
            <w:tcW w:w="588" w:type="pct"/>
          </w:tcPr>
          <w:p w14:paraId="304E9129" w14:textId="77777777" w:rsidR="007F4791" w:rsidRPr="00A25F2C" w:rsidRDefault="007F4791" w:rsidP="00F13D2F">
            <w:pPr>
              <w:pStyle w:val="TableBodyText"/>
              <w:jc w:val="right"/>
            </w:pPr>
            <w:r w:rsidRPr="00A25F2C">
              <w:t>2,237.4</w:t>
            </w:r>
          </w:p>
        </w:tc>
        <w:tc>
          <w:tcPr>
            <w:tcW w:w="535" w:type="pct"/>
          </w:tcPr>
          <w:p w14:paraId="51239D0C" w14:textId="77777777" w:rsidR="007F4791" w:rsidRPr="00A25F2C" w:rsidRDefault="007F4791" w:rsidP="00F13D2F">
            <w:pPr>
              <w:pStyle w:val="TableBodyText"/>
              <w:jc w:val="right"/>
            </w:pPr>
            <w:r w:rsidRPr="00A25F2C">
              <w:t>2,276.5</w:t>
            </w:r>
          </w:p>
        </w:tc>
      </w:tr>
      <w:tr w:rsidR="007F4791" w:rsidRPr="00A25F2C" w14:paraId="104C424C" w14:textId="77777777" w:rsidTr="00F13D2F">
        <w:tc>
          <w:tcPr>
            <w:tcW w:w="1471" w:type="pct"/>
          </w:tcPr>
          <w:p w14:paraId="3FFB1CEA" w14:textId="77777777" w:rsidR="007F4791" w:rsidRPr="00A25F2C" w:rsidRDefault="007F4791" w:rsidP="004E1FA1">
            <w:pPr>
              <w:pStyle w:val="TableBodyText"/>
            </w:pPr>
            <w:r w:rsidRPr="00A25F2C">
              <w:t>Non-residential</w:t>
            </w:r>
          </w:p>
        </w:tc>
        <w:tc>
          <w:tcPr>
            <w:tcW w:w="588" w:type="pct"/>
          </w:tcPr>
          <w:p w14:paraId="1F910E88" w14:textId="77777777" w:rsidR="007F4791" w:rsidRPr="00A25F2C" w:rsidRDefault="007F4791" w:rsidP="00F13D2F">
            <w:pPr>
              <w:pStyle w:val="TableBodyText"/>
              <w:jc w:val="right"/>
            </w:pPr>
            <w:r w:rsidRPr="00A25F2C">
              <w:t>162.6</w:t>
            </w:r>
          </w:p>
        </w:tc>
        <w:tc>
          <w:tcPr>
            <w:tcW w:w="640" w:type="pct"/>
          </w:tcPr>
          <w:p w14:paraId="1AE742DD" w14:textId="77777777" w:rsidR="007F4791" w:rsidRPr="00A25F2C" w:rsidRDefault="007F4791" w:rsidP="00F13D2F">
            <w:pPr>
              <w:pStyle w:val="TableBodyText"/>
              <w:jc w:val="right"/>
            </w:pPr>
            <w:r w:rsidRPr="00A25F2C">
              <w:t>164.6</w:t>
            </w:r>
          </w:p>
        </w:tc>
        <w:tc>
          <w:tcPr>
            <w:tcW w:w="588" w:type="pct"/>
          </w:tcPr>
          <w:p w14:paraId="34FCC864" w14:textId="77777777" w:rsidR="007F4791" w:rsidRPr="00A25F2C" w:rsidRDefault="007F4791" w:rsidP="00F13D2F">
            <w:pPr>
              <w:pStyle w:val="TableBodyText"/>
              <w:jc w:val="right"/>
            </w:pPr>
            <w:r w:rsidRPr="00A25F2C">
              <w:t>167.8</w:t>
            </w:r>
          </w:p>
        </w:tc>
        <w:tc>
          <w:tcPr>
            <w:tcW w:w="589" w:type="pct"/>
          </w:tcPr>
          <w:p w14:paraId="60A06F54" w14:textId="77777777" w:rsidR="007F4791" w:rsidRPr="00A25F2C" w:rsidRDefault="007F4791" w:rsidP="00F13D2F">
            <w:pPr>
              <w:pStyle w:val="TableBodyText"/>
              <w:jc w:val="right"/>
            </w:pPr>
            <w:r w:rsidRPr="00A25F2C">
              <w:t>171.0</w:t>
            </w:r>
          </w:p>
        </w:tc>
        <w:tc>
          <w:tcPr>
            <w:tcW w:w="588" w:type="pct"/>
          </w:tcPr>
          <w:p w14:paraId="05DBE2E7" w14:textId="77777777" w:rsidR="007F4791" w:rsidRPr="00A25F2C" w:rsidRDefault="007F4791" w:rsidP="00F13D2F">
            <w:pPr>
              <w:pStyle w:val="TableBodyText"/>
              <w:jc w:val="right"/>
            </w:pPr>
            <w:r w:rsidRPr="00A25F2C">
              <w:t>174.3</w:t>
            </w:r>
          </w:p>
        </w:tc>
        <w:tc>
          <w:tcPr>
            <w:tcW w:w="535" w:type="pct"/>
          </w:tcPr>
          <w:p w14:paraId="5F9C7548" w14:textId="77777777" w:rsidR="007F4791" w:rsidRPr="00A25F2C" w:rsidRDefault="007F4791" w:rsidP="00F13D2F">
            <w:pPr>
              <w:pStyle w:val="TableBodyText"/>
              <w:jc w:val="right"/>
            </w:pPr>
            <w:r w:rsidRPr="00A25F2C">
              <w:t>177.8</w:t>
            </w:r>
          </w:p>
        </w:tc>
      </w:tr>
      <w:tr w:rsidR="007F4791" w:rsidRPr="00A25F2C" w14:paraId="60AF2BBF" w14:textId="77777777" w:rsidTr="00F13D2F">
        <w:tc>
          <w:tcPr>
            <w:tcW w:w="1471" w:type="pct"/>
          </w:tcPr>
          <w:p w14:paraId="589809BE" w14:textId="77777777" w:rsidR="007F4791" w:rsidRPr="00A25F2C" w:rsidRDefault="007F4791" w:rsidP="004E1FA1">
            <w:pPr>
              <w:pStyle w:val="TableBodyText"/>
            </w:pPr>
            <w:r w:rsidRPr="00A25F2C">
              <w:t>Rural</w:t>
            </w:r>
          </w:p>
        </w:tc>
        <w:tc>
          <w:tcPr>
            <w:tcW w:w="588" w:type="pct"/>
          </w:tcPr>
          <w:p w14:paraId="5BBA9756" w14:textId="77777777" w:rsidR="007F4791" w:rsidRPr="00A25F2C" w:rsidRDefault="007F4791" w:rsidP="00F13D2F">
            <w:pPr>
              <w:pStyle w:val="TableBodyText"/>
              <w:jc w:val="right"/>
            </w:pPr>
            <w:r w:rsidRPr="00A25F2C">
              <w:t>118.9</w:t>
            </w:r>
          </w:p>
        </w:tc>
        <w:tc>
          <w:tcPr>
            <w:tcW w:w="640" w:type="pct"/>
          </w:tcPr>
          <w:p w14:paraId="204CABDD" w14:textId="77777777" w:rsidR="007F4791" w:rsidRPr="00A25F2C" w:rsidRDefault="007F4791" w:rsidP="00F13D2F">
            <w:pPr>
              <w:pStyle w:val="TableBodyText"/>
              <w:jc w:val="right"/>
            </w:pPr>
            <w:r w:rsidRPr="00A25F2C">
              <w:t>121.3</w:t>
            </w:r>
          </w:p>
        </w:tc>
        <w:tc>
          <w:tcPr>
            <w:tcW w:w="588" w:type="pct"/>
          </w:tcPr>
          <w:p w14:paraId="386A0D29" w14:textId="77777777" w:rsidR="007F4791" w:rsidRPr="00A25F2C" w:rsidRDefault="007F4791" w:rsidP="00F13D2F">
            <w:pPr>
              <w:pStyle w:val="TableBodyText"/>
              <w:jc w:val="right"/>
            </w:pPr>
            <w:r w:rsidRPr="00A25F2C">
              <w:t>123.7</w:t>
            </w:r>
          </w:p>
        </w:tc>
        <w:tc>
          <w:tcPr>
            <w:tcW w:w="589" w:type="pct"/>
          </w:tcPr>
          <w:p w14:paraId="5787A97F" w14:textId="77777777" w:rsidR="007F4791" w:rsidRPr="00A25F2C" w:rsidRDefault="007F4791" w:rsidP="00F13D2F">
            <w:pPr>
              <w:pStyle w:val="TableBodyText"/>
              <w:jc w:val="right"/>
            </w:pPr>
            <w:r w:rsidRPr="00A25F2C">
              <w:t>126.1</w:t>
            </w:r>
          </w:p>
        </w:tc>
        <w:tc>
          <w:tcPr>
            <w:tcW w:w="588" w:type="pct"/>
          </w:tcPr>
          <w:p w14:paraId="0A7E518B" w14:textId="77777777" w:rsidR="007F4791" w:rsidRPr="00A25F2C" w:rsidRDefault="007F4791" w:rsidP="00F13D2F">
            <w:pPr>
              <w:pStyle w:val="TableBodyText"/>
              <w:jc w:val="right"/>
            </w:pPr>
            <w:r w:rsidRPr="00A25F2C">
              <w:t>128.3</w:t>
            </w:r>
          </w:p>
        </w:tc>
        <w:tc>
          <w:tcPr>
            <w:tcW w:w="535" w:type="pct"/>
          </w:tcPr>
          <w:p w14:paraId="2B0B0442" w14:textId="77777777" w:rsidR="007F4791" w:rsidRPr="00A25F2C" w:rsidRDefault="007F4791" w:rsidP="00F13D2F">
            <w:pPr>
              <w:pStyle w:val="TableBodyText"/>
              <w:jc w:val="right"/>
            </w:pPr>
            <w:r w:rsidRPr="00A25F2C">
              <w:t>130.6</w:t>
            </w:r>
          </w:p>
        </w:tc>
      </w:tr>
      <w:tr w:rsidR="007F4791" w:rsidRPr="00A25F2C" w14:paraId="0026929D" w14:textId="77777777" w:rsidTr="00F13D2F">
        <w:tc>
          <w:tcPr>
            <w:tcW w:w="1471" w:type="pct"/>
          </w:tcPr>
          <w:p w14:paraId="3B2E1B13" w14:textId="77777777" w:rsidR="007F4791" w:rsidRPr="00A25F2C" w:rsidRDefault="007F4791" w:rsidP="004E1FA1">
            <w:pPr>
              <w:pStyle w:val="TableBodyText"/>
            </w:pPr>
            <w:r w:rsidRPr="00A25F2C">
              <w:t>Patterson Lakes</w:t>
            </w:r>
          </w:p>
        </w:tc>
        <w:tc>
          <w:tcPr>
            <w:tcW w:w="588" w:type="pct"/>
          </w:tcPr>
          <w:p w14:paraId="72D175D3" w14:textId="77777777" w:rsidR="007F4791" w:rsidRPr="00A25F2C" w:rsidRDefault="007F4791" w:rsidP="00F13D2F">
            <w:pPr>
              <w:pStyle w:val="TableBodyText"/>
              <w:jc w:val="right"/>
            </w:pPr>
            <w:r w:rsidRPr="00A25F2C">
              <w:t>1.7</w:t>
            </w:r>
          </w:p>
        </w:tc>
        <w:tc>
          <w:tcPr>
            <w:tcW w:w="640" w:type="pct"/>
          </w:tcPr>
          <w:p w14:paraId="68A21C42" w14:textId="77777777" w:rsidR="007F4791" w:rsidRPr="00A25F2C" w:rsidRDefault="007F4791" w:rsidP="00F13D2F">
            <w:pPr>
              <w:pStyle w:val="TableBodyText"/>
              <w:jc w:val="right"/>
            </w:pPr>
            <w:r w:rsidRPr="00A25F2C">
              <w:t>1.7</w:t>
            </w:r>
          </w:p>
        </w:tc>
        <w:tc>
          <w:tcPr>
            <w:tcW w:w="588" w:type="pct"/>
          </w:tcPr>
          <w:p w14:paraId="2E22EC84" w14:textId="77777777" w:rsidR="007F4791" w:rsidRPr="00A25F2C" w:rsidRDefault="007F4791" w:rsidP="00F13D2F">
            <w:pPr>
              <w:pStyle w:val="TableBodyText"/>
              <w:jc w:val="right"/>
            </w:pPr>
            <w:r w:rsidRPr="00A25F2C">
              <w:t>1.7</w:t>
            </w:r>
          </w:p>
        </w:tc>
        <w:tc>
          <w:tcPr>
            <w:tcW w:w="589" w:type="pct"/>
          </w:tcPr>
          <w:p w14:paraId="0CD843F2" w14:textId="77777777" w:rsidR="007F4791" w:rsidRPr="00A25F2C" w:rsidRDefault="007F4791" w:rsidP="00F13D2F">
            <w:pPr>
              <w:pStyle w:val="TableBodyText"/>
              <w:jc w:val="right"/>
            </w:pPr>
            <w:r w:rsidRPr="00A25F2C">
              <w:t>1.7</w:t>
            </w:r>
          </w:p>
        </w:tc>
        <w:tc>
          <w:tcPr>
            <w:tcW w:w="588" w:type="pct"/>
          </w:tcPr>
          <w:p w14:paraId="5FB35309" w14:textId="77777777" w:rsidR="007F4791" w:rsidRPr="00A25F2C" w:rsidRDefault="007F4791" w:rsidP="00F13D2F">
            <w:pPr>
              <w:pStyle w:val="TableBodyText"/>
              <w:jc w:val="right"/>
            </w:pPr>
            <w:r w:rsidRPr="00A25F2C">
              <w:t>1.7</w:t>
            </w:r>
          </w:p>
        </w:tc>
        <w:tc>
          <w:tcPr>
            <w:tcW w:w="535" w:type="pct"/>
          </w:tcPr>
          <w:p w14:paraId="7D855BFA" w14:textId="77777777" w:rsidR="007F4791" w:rsidRPr="00A25F2C" w:rsidRDefault="007F4791" w:rsidP="00F13D2F">
            <w:pPr>
              <w:pStyle w:val="TableBodyText"/>
              <w:jc w:val="right"/>
            </w:pPr>
            <w:r w:rsidRPr="00A25F2C">
              <w:t>1.7</w:t>
            </w:r>
          </w:p>
        </w:tc>
      </w:tr>
      <w:tr w:rsidR="007F4791" w:rsidRPr="00A25F2C" w14:paraId="5C6F313B" w14:textId="77777777" w:rsidTr="00F13D2F">
        <w:tc>
          <w:tcPr>
            <w:tcW w:w="1471" w:type="pct"/>
          </w:tcPr>
          <w:p w14:paraId="62D35033" w14:textId="77777777" w:rsidR="007F4791" w:rsidRPr="00A25F2C" w:rsidRDefault="007F4791" w:rsidP="004E1FA1">
            <w:pPr>
              <w:pStyle w:val="TableBodyText"/>
            </w:pPr>
            <w:r w:rsidRPr="00A25F2C">
              <w:t>Koo Wee Rup Longwarry Flood Protection District</w:t>
            </w:r>
          </w:p>
        </w:tc>
        <w:tc>
          <w:tcPr>
            <w:tcW w:w="588" w:type="pct"/>
          </w:tcPr>
          <w:p w14:paraId="5FB89316" w14:textId="77777777" w:rsidR="007F4791" w:rsidRPr="00A25F2C" w:rsidRDefault="007F4791" w:rsidP="00F13D2F">
            <w:pPr>
              <w:pStyle w:val="TableBodyText"/>
              <w:jc w:val="right"/>
            </w:pPr>
            <w:r w:rsidRPr="00A25F2C">
              <w:t>4.5</w:t>
            </w:r>
          </w:p>
        </w:tc>
        <w:tc>
          <w:tcPr>
            <w:tcW w:w="640" w:type="pct"/>
          </w:tcPr>
          <w:p w14:paraId="46EFA40F" w14:textId="77777777" w:rsidR="007F4791" w:rsidRPr="00A25F2C" w:rsidRDefault="007F4791" w:rsidP="00F13D2F">
            <w:pPr>
              <w:pStyle w:val="TableBodyText"/>
              <w:jc w:val="right"/>
            </w:pPr>
            <w:r w:rsidRPr="00A25F2C">
              <w:t>4.6</w:t>
            </w:r>
          </w:p>
        </w:tc>
        <w:tc>
          <w:tcPr>
            <w:tcW w:w="588" w:type="pct"/>
          </w:tcPr>
          <w:p w14:paraId="7275B0F5" w14:textId="77777777" w:rsidR="007F4791" w:rsidRPr="00A25F2C" w:rsidRDefault="007F4791" w:rsidP="00F13D2F">
            <w:pPr>
              <w:pStyle w:val="TableBodyText"/>
              <w:jc w:val="right"/>
            </w:pPr>
            <w:r w:rsidRPr="00A25F2C">
              <w:t>4.7</w:t>
            </w:r>
          </w:p>
        </w:tc>
        <w:tc>
          <w:tcPr>
            <w:tcW w:w="589" w:type="pct"/>
          </w:tcPr>
          <w:p w14:paraId="28129B38" w14:textId="77777777" w:rsidR="007F4791" w:rsidRPr="00A25F2C" w:rsidRDefault="007F4791" w:rsidP="00F13D2F">
            <w:pPr>
              <w:pStyle w:val="TableBodyText"/>
              <w:jc w:val="right"/>
            </w:pPr>
            <w:r w:rsidRPr="00A25F2C">
              <w:t>4.8</w:t>
            </w:r>
          </w:p>
        </w:tc>
        <w:tc>
          <w:tcPr>
            <w:tcW w:w="588" w:type="pct"/>
          </w:tcPr>
          <w:p w14:paraId="6CD982B1" w14:textId="77777777" w:rsidR="007F4791" w:rsidRPr="00A25F2C" w:rsidRDefault="007F4791" w:rsidP="00F13D2F">
            <w:pPr>
              <w:pStyle w:val="TableBodyText"/>
              <w:jc w:val="right"/>
            </w:pPr>
            <w:r w:rsidRPr="00A25F2C">
              <w:t>4.9</w:t>
            </w:r>
          </w:p>
        </w:tc>
        <w:tc>
          <w:tcPr>
            <w:tcW w:w="535" w:type="pct"/>
          </w:tcPr>
          <w:p w14:paraId="6F77A7D9" w14:textId="77777777" w:rsidR="007F4791" w:rsidRPr="00A25F2C" w:rsidRDefault="007F4791" w:rsidP="00F13D2F">
            <w:pPr>
              <w:pStyle w:val="TableBodyText"/>
              <w:jc w:val="right"/>
            </w:pPr>
            <w:r w:rsidRPr="00A25F2C">
              <w:t>5.0</w:t>
            </w:r>
          </w:p>
        </w:tc>
      </w:tr>
      <w:tr w:rsidR="007F4791" w:rsidRPr="00A25F2C" w14:paraId="7B7E9BC5" w14:textId="77777777" w:rsidTr="00F13D2F">
        <w:tc>
          <w:tcPr>
            <w:tcW w:w="1471" w:type="pct"/>
          </w:tcPr>
          <w:p w14:paraId="30C098F3" w14:textId="77777777" w:rsidR="007F4791" w:rsidRPr="00A25F2C" w:rsidRDefault="007F4791" w:rsidP="004E1FA1">
            <w:pPr>
              <w:pStyle w:val="TableBodyText"/>
            </w:pPr>
            <w:r w:rsidRPr="00A25F2C">
              <w:rPr>
                <w:b/>
              </w:rPr>
              <w:t>Total</w:t>
            </w:r>
          </w:p>
        </w:tc>
        <w:tc>
          <w:tcPr>
            <w:tcW w:w="588" w:type="pct"/>
          </w:tcPr>
          <w:p w14:paraId="67B8670F" w14:textId="77777777" w:rsidR="007F4791" w:rsidRPr="00A25F2C" w:rsidRDefault="007F4791" w:rsidP="00F13D2F">
            <w:pPr>
              <w:pStyle w:val="TableBodyText"/>
              <w:jc w:val="right"/>
            </w:pPr>
            <w:r w:rsidRPr="00A25F2C">
              <w:rPr>
                <w:b/>
              </w:rPr>
              <w:t>2,360.4</w:t>
            </w:r>
          </w:p>
        </w:tc>
        <w:tc>
          <w:tcPr>
            <w:tcW w:w="640" w:type="pct"/>
          </w:tcPr>
          <w:p w14:paraId="2856A0EA" w14:textId="77777777" w:rsidR="007F4791" w:rsidRPr="00A25F2C" w:rsidRDefault="007F4791" w:rsidP="00F13D2F">
            <w:pPr>
              <w:pStyle w:val="TableBodyText"/>
              <w:jc w:val="right"/>
            </w:pPr>
            <w:r w:rsidRPr="00A25F2C">
              <w:rPr>
                <w:b/>
              </w:rPr>
              <w:t>2,406.1</w:t>
            </w:r>
          </w:p>
        </w:tc>
        <w:tc>
          <w:tcPr>
            <w:tcW w:w="588" w:type="pct"/>
          </w:tcPr>
          <w:p w14:paraId="1E67EB28" w14:textId="77777777" w:rsidR="007F4791" w:rsidRPr="00A25F2C" w:rsidRDefault="007F4791" w:rsidP="00F13D2F">
            <w:pPr>
              <w:pStyle w:val="TableBodyText"/>
              <w:jc w:val="right"/>
            </w:pPr>
            <w:r w:rsidRPr="00A25F2C">
              <w:rPr>
                <w:b/>
              </w:rPr>
              <w:t>2,453.9</w:t>
            </w:r>
          </w:p>
        </w:tc>
        <w:tc>
          <w:tcPr>
            <w:tcW w:w="589" w:type="pct"/>
          </w:tcPr>
          <w:p w14:paraId="13B50F36" w14:textId="77777777" w:rsidR="007F4791" w:rsidRPr="00A25F2C" w:rsidRDefault="007F4791" w:rsidP="00F13D2F">
            <w:pPr>
              <w:pStyle w:val="TableBodyText"/>
              <w:jc w:val="right"/>
            </w:pPr>
            <w:r w:rsidRPr="00A25F2C">
              <w:rPr>
                <w:b/>
              </w:rPr>
              <w:t>2,502.5</w:t>
            </w:r>
          </w:p>
        </w:tc>
        <w:tc>
          <w:tcPr>
            <w:tcW w:w="588" w:type="pct"/>
          </w:tcPr>
          <w:p w14:paraId="24154E81" w14:textId="77777777" w:rsidR="007F4791" w:rsidRPr="00A25F2C" w:rsidRDefault="007F4791" w:rsidP="00F13D2F">
            <w:pPr>
              <w:pStyle w:val="TableBodyText"/>
              <w:jc w:val="right"/>
            </w:pPr>
            <w:r w:rsidRPr="00A25F2C">
              <w:rPr>
                <w:b/>
              </w:rPr>
              <w:t>2,546.6</w:t>
            </w:r>
          </w:p>
        </w:tc>
        <w:tc>
          <w:tcPr>
            <w:tcW w:w="535" w:type="pct"/>
          </w:tcPr>
          <w:p w14:paraId="60717411" w14:textId="77777777" w:rsidR="007F4791" w:rsidRPr="00A25F2C" w:rsidRDefault="007F4791" w:rsidP="00F13D2F">
            <w:pPr>
              <w:pStyle w:val="TableBodyText"/>
              <w:jc w:val="right"/>
              <w:rPr>
                <w:b/>
              </w:rPr>
            </w:pPr>
            <w:r w:rsidRPr="00A25F2C">
              <w:rPr>
                <w:b/>
              </w:rPr>
              <w:t>2,591.6</w:t>
            </w:r>
          </w:p>
        </w:tc>
      </w:tr>
    </w:tbl>
    <w:p w14:paraId="178FA3E9" w14:textId="1623C997" w:rsidR="00143D6B" w:rsidRDefault="007F4791" w:rsidP="007F4791">
      <w:pPr>
        <w:pStyle w:val="BodyText"/>
      </w:pPr>
      <w:r w:rsidRPr="00A25F2C">
        <w:t>All tables subject to rounding</w:t>
      </w:r>
      <w:r w:rsidR="0086694E">
        <w:t>.</w:t>
      </w:r>
    </w:p>
    <w:p w14:paraId="0FCEA3A3" w14:textId="5070EF0D" w:rsidR="00143D6B" w:rsidRDefault="007F4791" w:rsidP="007F4791">
      <w:pPr>
        <w:pStyle w:val="BodyText"/>
      </w:pPr>
      <w:r w:rsidRPr="00A25F2C">
        <w:t>*2022-23 forecast reflective of very wet year to date. High rainfall increases sewerage flows and reduces demand for water.</w:t>
      </w:r>
    </w:p>
    <w:p w14:paraId="6353D1BF" w14:textId="3D2BE8CF" w:rsidR="007F4791" w:rsidRPr="00A25F2C" w:rsidRDefault="0086694E" w:rsidP="009A601F">
      <w:pPr>
        <w:pStyle w:val="Caption"/>
      </w:pPr>
      <w:r w:rsidRPr="0086694E">
        <w:lastRenderedPageBreak/>
        <w:t>Table E9 – Profit &amp; Loss 2023-24</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08524251"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21A2707E" w14:textId="41DFC429" w:rsidR="007F4791" w:rsidRPr="00A25F2C" w:rsidRDefault="007F4791" w:rsidP="009A601F">
            <w:pPr>
              <w:pStyle w:val="TableBodyText"/>
              <w:keepNext/>
              <w:spacing w:before="20" w:after="20" w:line="233" w:lineRule="auto"/>
            </w:pPr>
            <w:r w:rsidRPr="00A25F2C">
              <w:t xml:space="preserve">Nominal </w:t>
            </w:r>
            <w:r w:rsidR="00E65500">
              <w:t>$ million</w:t>
            </w:r>
          </w:p>
        </w:tc>
        <w:tc>
          <w:tcPr>
            <w:tcW w:w="588" w:type="pct"/>
          </w:tcPr>
          <w:p w14:paraId="6FC25F06" w14:textId="77777777" w:rsidR="007F4791" w:rsidRPr="00A25F2C" w:rsidRDefault="007F4791" w:rsidP="009A601F">
            <w:pPr>
              <w:pStyle w:val="TableBodyText"/>
              <w:keepNext/>
              <w:spacing w:before="20" w:after="20" w:line="233" w:lineRule="auto"/>
            </w:pPr>
            <w:r w:rsidRPr="00A25F2C">
              <w:t>2022-23</w:t>
            </w:r>
          </w:p>
          <w:p w14:paraId="0EC44D70" w14:textId="77777777" w:rsidR="007F4791" w:rsidRPr="00A25F2C" w:rsidRDefault="007F4791" w:rsidP="009A601F">
            <w:pPr>
              <w:pStyle w:val="TableBodyText"/>
              <w:keepNext/>
              <w:spacing w:before="20" w:after="20" w:line="233" w:lineRule="auto"/>
            </w:pPr>
            <w:r w:rsidRPr="00A25F2C">
              <w:t>FCT</w:t>
            </w:r>
          </w:p>
        </w:tc>
        <w:tc>
          <w:tcPr>
            <w:tcW w:w="609" w:type="pct"/>
          </w:tcPr>
          <w:p w14:paraId="1BDB76AA" w14:textId="77777777" w:rsidR="007F4791" w:rsidRPr="00A25F2C" w:rsidRDefault="007F4791" w:rsidP="009A601F">
            <w:pPr>
              <w:pStyle w:val="TableBodyText"/>
              <w:keepNext/>
              <w:spacing w:before="20" w:after="20" w:line="233" w:lineRule="auto"/>
            </w:pPr>
            <w:r w:rsidRPr="00A25F2C">
              <w:t>2022-23</w:t>
            </w:r>
          </w:p>
          <w:p w14:paraId="4D641B58" w14:textId="77777777" w:rsidR="007F4791" w:rsidRPr="00A25F2C" w:rsidRDefault="007F4791" w:rsidP="009A601F">
            <w:pPr>
              <w:pStyle w:val="TableBodyText"/>
              <w:keepNext/>
              <w:spacing w:before="20" w:after="20" w:line="233" w:lineRule="auto"/>
            </w:pPr>
            <w:r w:rsidRPr="00A25F2C">
              <w:t>PLAN</w:t>
            </w:r>
          </w:p>
        </w:tc>
        <w:tc>
          <w:tcPr>
            <w:tcW w:w="472" w:type="pct"/>
          </w:tcPr>
          <w:p w14:paraId="1479D2AB" w14:textId="77777777" w:rsidR="007F4791" w:rsidRPr="00A25F2C" w:rsidRDefault="007F4791" w:rsidP="009A601F">
            <w:pPr>
              <w:pStyle w:val="TableBodyText"/>
              <w:keepNext/>
              <w:spacing w:before="20" w:after="20" w:line="233" w:lineRule="auto"/>
            </w:pPr>
            <w:r w:rsidRPr="00A25F2C">
              <w:t>2023-24</w:t>
            </w:r>
          </w:p>
        </w:tc>
        <w:tc>
          <w:tcPr>
            <w:tcW w:w="471" w:type="pct"/>
          </w:tcPr>
          <w:p w14:paraId="2093997A" w14:textId="77777777" w:rsidR="007F4791" w:rsidRPr="00A25F2C" w:rsidRDefault="007F4791" w:rsidP="009A601F">
            <w:pPr>
              <w:pStyle w:val="TableBodyText"/>
              <w:keepNext/>
              <w:spacing w:before="20" w:after="20" w:line="233" w:lineRule="auto"/>
            </w:pPr>
            <w:r w:rsidRPr="00A25F2C">
              <w:t>2024-25</w:t>
            </w:r>
          </w:p>
        </w:tc>
        <w:tc>
          <w:tcPr>
            <w:tcW w:w="472" w:type="pct"/>
          </w:tcPr>
          <w:p w14:paraId="5973AF5E" w14:textId="77777777" w:rsidR="007F4791" w:rsidRPr="00A25F2C" w:rsidRDefault="007F4791" w:rsidP="009A601F">
            <w:pPr>
              <w:pStyle w:val="TableBodyText"/>
              <w:keepNext/>
              <w:spacing w:before="20" w:after="20" w:line="233" w:lineRule="auto"/>
            </w:pPr>
            <w:r w:rsidRPr="00A25F2C">
              <w:t>2025-26</w:t>
            </w:r>
          </w:p>
        </w:tc>
        <w:tc>
          <w:tcPr>
            <w:tcW w:w="470" w:type="pct"/>
          </w:tcPr>
          <w:p w14:paraId="461B7F04" w14:textId="77777777" w:rsidR="007F4791" w:rsidRPr="00A25F2C" w:rsidRDefault="007F4791" w:rsidP="009A601F">
            <w:pPr>
              <w:pStyle w:val="TableBodyText"/>
              <w:keepNext/>
              <w:spacing w:before="20" w:after="20" w:line="233" w:lineRule="auto"/>
            </w:pPr>
            <w:r w:rsidRPr="00A25F2C">
              <w:t>2026-27</w:t>
            </w:r>
          </w:p>
        </w:tc>
        <w:tc>
          <w:tcPr>
            <w:tcW w:w="447" w:type="pct"/>
          </w:tcPr>
          <w:p w14:paraId="27E49C70" w14:textId="77777777" w:rsidR="007F4791" w:rsidRPr="00A25F2C" w:rsidRDefault="007F4791" w:rsidP="009A601F">
            <w:pPr>
              <w:pStyle w:val="TableBodyText"/>
              <w:keepNext/>
              <w:spacing w:before="20" w:after="20" w:line="233" w:lineRule="auto"/>
            </w:pPr>
            <w:r w:rsidRPr="00A25F2C">
              <w:t>2027-28</w:t>
            </w:r>
          </w:p>
        </w:tc>
      </w:tr>
      <w:tr w:rsidR="007F4791" w:rsidRPr="00A25F2C" w14:paraId="1C08A31B" w14:textId="77777777" w:rsidTr="00F13D2F">
        <w:tc>
          <w:tcPr>
            <w:tcW w:w="1470" w:type="pct"/>
          </w:tcPr>
          <w:p w14:paraId="56C6D7CB" w14:textId="77777777" w:rsidR="007F4791" w:rsidRPr="00A25F2C" w:rsidRDefault="007F4791" w:rsidP="009A601F">
            <w:pPr>
              <w:pStyle w:val="TableBodyText"/>
              <w:keepNext/>
              <w:spacing w:before="20" w:after="20" w:line="233" w:lineRule="auto"/>
            </w:pPr>
            <w:r w:rsidRPr="00A25F2C">
              <w:t>Water Sales</w:t>
            </w:r>
          </w:p>
        </w:tc>
        <w:tc>
          <w:tcPr>
            <w:tcW w:w="588" w:type="pct"/>
          </w:tcPr>
          <w:p w14:paraId="255173B2" w14:textId="77777777" w:rsidR="007F4791" w:rsidRPr="00A25F2C" w:rsidRDefault="007F4791" w:rsidP="009A601F">
            <w:pPr>
              <w:pStyle w:val="TableBodyText"/>
              <w:keepNext/>
              <w:spacing w:before="20" w:after="20" w:line="233" w:lineRule="auto"/>
              <w:jc w:val="right"/>
            </w:pPr>
            <w:r w:rsidRPr="00A25F2C">
              <w:t>908.3</w:t>
            </w:r>
          </w:p>
        </w:tc>
        <w:tc>
          <w:tcPr>
            <w:tcW w:w="609" w:type="pct"/>
          </w:tcPr>
          <w:p w14:paraId="40D02B30" w14:textId="77777777" w:rsidR="007F4791" w:rsidRPr="00A25F2C" w:rsidRDefault="007F4791" w:rsidP="009A601F">
            <w:pPr>
              <w:pStyle w:val="TableBodyText"/>
              <w:keepNext/>
              <w:spacing w:before="20" w:after="20" w:line="233" w:lineRule="auto"/>
              <w:jc w:val="right"/>
            </w:pPr>
            <w:r w:rsidRPr="00A25F2C">
              <w:t>904.4</w:t>
            </w:r>
          </w:p>
        </w:tc>
        <w:tc>
          <w:tcPr>
            <w:tcW w:w="472" w:type="pct"/>
          </w:tcPr>
          <w:p w14:paraId="0D159AC5" w14:textId="77777777" w:rsidR="007F4791" w:rsidRPr="00A25F2C" w:rsidRDefault="007F4791" w:rsidP="009A601F">
            <w:pPr>
              <w:pStyle w:val="TableBodyText"/>
              <w:keepNext/>
              <w:spacing w:before="20" w:after="20" w:line="233" w:lineRule="auto"/>
              <w:jc w:val="right"/>
            </w:pPr>
            <w:r w:rsidRPr="00A25F2C">
              <w:t>945.0</w:t>
            </w:r>
          </w:p>
        </w:tc>
        <w:tc>
          <w:tcPr>
            <w:tcW w:w="471" w:type="pct"/>
          </w:tcPr>
          <w:p w14:paraId="10DF323D" w14:textId="77777777" w:rsidR="007F4791" w:rsidRPr="00A25F2C" w:rsidRDefault="007F4791" w:rsidP="009A601F">
            <w:pPr>
              <w:pStyle w:val="TableBodyText"/>
              <w:keepNext/>
              <w:spacing w:before="20" w:after="20" w:line="233" w:lineRule="auto"/>
              <w:jc w:val="right"/>
            </w:pPr>
            <w:r w:rsidRPr="00A25F2C">
              <w:t>1,022.8</w:t>
            </w:r>
          </w:p>
        </w:tc>
        <w:tc>
          <w:tcPr>
            <w:tcW w:w="472" w:type="pct"/>
          </w:tcPr>
          <w:p w14:paraId="5D970A40" w14:textId="77777777" w:rsidR="007F4791" w:rsidRPr="00A25F2C" w:rsidRDefault="007F4791" w:rsidP="009A601F">
            <w:pPr>
              <w:pStyle w:val="TableBodyText"/>
              <w:keepNext/>
              <w:spacing w:before="20" w:after="20" w:line="233" w:lineRule="auto"/>
              <w:jc w:val="right"/>
            </w:pPr>
            <w:r w:rsidRPr="00A25F2C">
              <w:t>1,055.3</w:t>
            </w:r>
          </w:p>
        </w:tc>
        <w:tc>
          <w:tcPr>
            <w:tcW w:w="470" w:type="pct"/>
          </w:tcPr>
          <w:p w14:paraId="06712D05" w14:textId="77777777" w:rsidR="007F4791" w:rsidRPr="00A25F2C" w:rsidRDefault="007F4791" w:rsidP="009A601F">
            <w:pPr>
              <w:pStyle w:val="TableBodyText"/>
              <w:keepNext/>
              <w:spacing w:before="20" w:after="20" w:line="233" w:lineRule="auto"/>
              <w:jc w:val="right"/>
            </w:pPr>
            <w:r w:rsidRPr="00A25F2C">
              <w:t>1,068.5</w:t>
            </w:r>
          </w:p>
        </w:tc>
        <w:tc>
          <w:tcPr>
            <w:tcW w:w="447" w:type="pct"/>
          </w:tcPr>
          <w:p w14:paraId="3ED8BE48" w14:textId="77777777" w:rsidR="007F4791" w:rsidRPr="00A25F2C" w:rsidRDefault="007F4791" w:rsidP="009A601F">
            <w:pPr>
              <w:pStyle w:val="TableBodyText"/>
              <w:keepNext/>
              <w:spacing w:before="20" w:after="20" w:line="233" w:lineRule="auto"/>
              <w:jc w:val="right"/>
            </w:pPr>
            <w:r w:rsidRPr="00A25F2C">
              <w:t>1,098.9</w:t>
            </w:r>
          </w:p>
        </w:tc>
      </w:tr>
      <w:tr w:rsidR="007F4791" w:rsidRPr="00A25F2C" w14:paraId="22C6AC58" w14:textId="77777777" w:rsidTr="00F13D2F">
        <w:tc>
          <w:tcPr>
            <w:tcW w:w="1470" w:type="pct"/>
          </w:tcPr>
          <w:p w14:paraId="1265F936" w14:textId="77777777" w:rsidR="007F4791" w:rsidRPr="00A25F2C" w:rsidRDefault="007F4791" w:rsidP="009A601F">
            <w:pPr>
              <w:pStyle w:val="TableBodyText"/>
              <w:keepNext/>
              <w:spacing w:before="20" w:after="20" w:line="233" w:lineRule="auto"/>
            </w:pPr>
            <w:r w:rsidRPr="00A25F2C">
              <w:t>Sewage Treatment</w:t>
            </w:r>
          </w:p>
        </w:tc>
        <w:tc>
          <w:tcPr>
            <w:tcW w:w="588" w:type="pct"/>
          </w:tcPr>
          <w:p w14:paraId="6D163B25" w14:textId="77777777" w:rsidR="007F4791" w:rsidRPr="00A25F2C" w:rsidRDefault="007F4791" w:rsidP="009A601F">
            <w:pPr>
              <w:pStyle w:val="TableBodyText"/>
              <w:keepNext/>
              <w:spacing w:before="20" w:after="20" w:line="233" w:lineRule="auto"/>
              <w:jc w:val="right"/>
            </w:pPr>
            <w:r w:rsidRPr="00A25F2C">
              <w:t>441.7</w:t>
            </w:r>
          </w:p>
        </w:tc>
        <w:tc>
          <w:tcPr>
            <w:tcW w:w="609" w:type="pct"/>
          </w:tcPr>
          <w:p w14:paraId="08E7F2EE" w14:textId="77777777" w:rsidR="007F4791" w:rsidRPr="00A25F2C" w:rsidRDefault="007F4791" w:rsidP="009A601F">
            <w:pPr>
              <w:pStyle w:val="TableBodyText"/>
              <w:keepNext/>
              <w:spacing w:before="20" w:after="20" w:line="233" w:lineRule="auto"/>
              <w:jc w:val="right"/>
            </w:pPr>
            <w:r w:rsidRPr="00A25F2C">
              <w:t>425.7</w:t>
            </w:r>
          </w:p>
        </w:tc>
        <w:tc>
          <w:tcPr>
            <w:tcW w:w="472" w:type="pct"/>
          </w:tcPr>
          <w:p w14:paraId="455F4AEF" w14:textId="77777777" w:rsidR="007F4791" w:rsidRPr="00A25F2C" w:rsidRDefault="007F4791" w:rsidP="009A601F">
            <w:pPr>
              <w:pStyle w:val="TableBodyText"/>
              <w:keepNext/>
              <w:spacing w:before="20" w:after="20" w:line="233" w:lineRule="auto"/>
              <w:jc w:val="right"/>
            </w:pPr>
            <w:r w:rsidRPr="00A25F2C">
              <w:t>487.3</w:t>
            </w:r>
          </w:p>
        </w:tc>
        <w:tc>
          <w:tcPr>
            <w:tcW w:w="471" w:type="pct"/>
          </w:tcPr>
          <w:p w14:paraId="73CA8EAF" w14:textId="77777777" w:rsidR="007F4791" w:rsidRPr="00A25F2C" w:rsidRDefault="007F4791" w:rsidP="009A601F">
            <w:pPr>
              <w:pStyle w:val="TableBodyText"/>
              <w:keepNext/>
              <w:spacing w:before="20" w:after="20" w:line="233" w:lineRule="auto"/>
              <w:jc w:val="right"/>
            </w:pPr>
            <w:r w:rsidRPr="00A25F2C">
              <w:t>518.9</w:t>
            </w:r>
          </w:p>
        </w:tc>
        <w:tc>
          <w:tcPr>
            <w:tcW w:w="472" w:type="pct"/>
          </w:tcPr>
          <w:p w14:paraId="3CD0C3F0" w14:textId="77777777" w:rsidR="007F4791" w:rsidRPr="00A25F2C" w:rsidRDefault="007F4791" w:rsidP="009A601F">
            <w:pPr>
              <w:pStyle w:val="TableBodyText"/>
              <w:keepNext/>
              <w:spacing w:before="20" w:after="20" w:line="233" w:lineRule="auto"/>
              <w:jc w:val="right"/>
            </w:pPr>
            <w:r w:rsidRPr="00A25F2C">
              <w:t>552.0</w:t>
            </w:r>
          </w:p>
        </w:tc>
        <w:tc>
          <w:tcPr>
            <w:tcW w:w="470" w:type="pct"/>
          </w:tcPr>
          <w:p w14:paraId="2FF9AB79" w14:textId="77777777" w:rsidR="007F4791" w:rsidRPr="00A25F2C" w:rsidRDefault="007F4791" w:rsidP="009A601F">
            <w:pPr>
              <w:pStyle w:val="TableBodyText"/>
              <w:keepNext/>
              <w:spacing w:before="20" w:after="20" w:line="233" w:lineRule="auto"/>
              <w:jc w:val="right"/>
            </w:pPr>
            <w:r w:rsidRPr="00A25F2C">
              <w:t>564.1</w:t>
            </w:r>
          </w:p>
        </w:tc>
        <w:tc>
          <w:tcPr>
            <w:tcW w:w="447" w:type="pct"/>
          </w:tcPr>
          <w:p w14:paraId="18342045" w14:textId="77777777" w:rsidR="007F4791" w:rsidRPr="00A25F2C" w:rsidRDefault="007F4791" w:rsidP="009A601F">
            <w:pPr>
              <w:pStyle w:val="TableBodyText"/>
              <w:keepNext/>
              <w:spacing w:before="20" w:after="20" w:line="233" w:lineRule="auto"/>
              <w:jc w:val="right"/>
            </w:pPr>
            <w:r w:rsidRPr="00A25F2C">
              <w:t>596.1</w:t>
            </w:r>
          </w:p>
        </w:tc>
      </w:tr>
      <w:tr w:rsidR="007F4791" w:rsidRPr="00A25F2C" w14:paraId="187CB7DA" w14:textId="77777777" w:rsidTr="00F13D2F">
        <w:tc>
          <w:tcPr>
            <w:tcW w:w="1470" w:type="pct"/>
          </w:tcPr>
          <w:p w14:paraId="3ACE6511" w14:textId="77777777" w:rsidR="007F4791" w:rsidRPr="00A25F2C" w:rsidRDefault="007F4791" w:rsidP="009A601F">
            <w:pPr>
              <w:pStyle w:val="TableBodyText"/>
              <w:spacing w:before="20" w:after="20" w:line="233" w:lineRule="auto"/>
            </w:pPr>
            <w:r w:rsidRPr="00A25F2C">
              <w:t>Waterways Charges</w:t>
            </w:r>
          </w:p>
        </w:tc>
        <w:tc>
          <w:tcPr>
            <w:tcW w:w="588" w:type="pct"/>
          </w:tcPr>
          <w:p w14:paraId="1B080064" w14:textId="77777777" w:rsidR="007F4791" w:rsidRPr="00A25F2C" w:rsidRDefault="007F4791" w:rsidP="009A601F">
            <w:pPr>
              <w:pStyle w:val="TableBodyText"/>
              <w:spacing w:before="20" w:after="20" w:line="233" w:lineRule="auto"/>
              <w:jc w:val="right"/>
            </w:pPr>
            <w:r w:rsidRPr="00A25F2C">
              <w:t>289.0</w:t>
            </w:r>
          </w:p>
        </w:tc>
        <w:tc>
          <w:tcPr>
            <w:tcW w:w="609" w:type="pct"/>
          </w:tcPr>
          <w:p w14:paraId="1D03AD2F" w14:textId="77777777" w:rsidR="007F4791" w:rsidRPr="00A25F2C" w:rsidRDefault="007F4791" w:rsidP="009A601F">
            <w:pPr>
              <w:pStyle w:val="TableBodyText"/>
              <w:spacing w:before="20" w:after="20" w:line="233" w:lineRule="auto"/>
              <w:jc w:val="right"/>
            </w:pPr>
            <w:r w:rsidRPr="00A25F2C">
              <w:t>276.0</w:t>
            </w:r>
          </w:p>
        </w:tc>
        <w:tc>
          <w:tcPr>
            <w:tcW w:w="472" w:type="pct"/>
          </w:tcPr>
          <w:p w14:paraId="3117A809" w14:textId="77777777" w:rsidR="007F4791" w:rsidRPr="00A25F2C" w:rsidRDefault="007F4791" w:rsidP="009A601F">
            <w:pPr>
              <w:pStyle w:val="TableBodyText"/>
              <w:spacing w:before="20" w:after="20" w:line="233" w:lineRule="auto"/>
              <w:jc w:val="right"/>
            </w:pPr>
            <w:r w:rsidRPr="00A25F2C">
              <w:t>323.0</w:t>
            </w:r>
          </w:p>
        </w:tc>
        <w:tc>
          <w:tcPr>
            <w:tcW w:w="471" w:type="pct"/>
          </w:tcPr>
          <w:p w14:paraId="73963171" w14:textId="77777777" w:rsidR="007F4791" w:rsidRPr="00A25F2C" w:rsidRDefault="007F4791" w:rsidP="009A601F">
            <w:pPr>
              <w:pStyle w:val="TableBodyText"/>
              <w:spacing w:before="20" w:after="20" w:line="233" w:lineRule="auto"/>
              <w:jc w:val="right"/>
            </w:pPr>
            <w:r w:rsidRPr="00A25F2C">
              <w:t>340.1</w:t>
            </w:r>
          </w:p>
        </w:tc>
        <w:tc>
          <w:tcPr>
            <w:tcW w:w="472" w:type="pct"/>
          </w:tcPr>
          <w:p w14:paraId="63F3A386" w14:textId="77777777" w:rsidR="007F4791" w:rsidRPr="00A25F2C" w:rsidRDefault="007F4791" w:rsidP="009A601F">
            <w:pPr>
              <w:pStyle w:val="TableBodyText"/>
              <w:spacing w:before="20" w:after="20" w:line="233" w:lineRule="auto"/>
              <w:jc w:val="right"/>
            </w:pPr>
            <w:r w:rsidRPr="00A25F2C">
              <w:t>357.1</w:t>
            </w:r>
          </w:p>
        </w:tc>
        <w:tc>
          <w:tcPr>
            <w:tcW w:w="470" w:type="pct"/>
          </w:tcPr>
          <w:p w14:paraId="14D5460A" w14:textId="77777777" w:rsidR="007F4791" w:rsidRPr="00A25F2C" w:rsidRDefault="007F4791" w:rsidP="009A601F">
            <w:pPr>
              <w:pStyle w:val="TableBodyText"/>
              <w:spacing w:before="20" w:after="20" w:line="233" w:lineRule="auto"/>
              <w:jc w:val="right"/>
            </w:pPr>
            <w:r w:rsidRPr="00A25F2C">
              <w:t>385.4</w:t>
            </w:r>
          </w:p>
        </w:tc>
        <w:tc>
          <w:tcPr>
            <w:tcW w:w="447" w:type="pct"/>
          </w:tcPr>
          <w:p w14:paraId="54ECB8DC" w14:textId="77777777" w:rsidR="007F4791" w:rsidRPr="00A25F2C" w:rsidRDefault="007F4791" w:rsidP="009A601F">
            <w:pPr>
              <w:pStyle w:val="TableBodyText"/>
              <w:spacing w:before="20" w:after="20" w:line="233" w:lineRule="auto"/>
              <w:jc w:val="right"/>
            </w:pPr>
            <w:r w:rsidRPr="00A25F2C">
              <w:t>402.0</w:t>
            </w:r>
          </w:p>
        </w:tc>
      </w:tr>
      <w:tr w:rsidR="007F4791" w:rsidRPr="00A25F2C" w14:paraId="05D42A46" w14:textId="77777777" w:rsidTr="00F13D2F">
        <w:tc>
          <w:tcPr>
            <w:tcW w:w="1470" w:type="pct"/>
          </w:tcPr>
          <w:p w14:paraId="03A5D734" w14:textId="77777777" w:rsidR="007F4791" w:rsidRPr="00A25F2C" w:rsidRDefault="007F4791" w:rsidP="009A601F">
            <w:pPr>
              <w:pStyle w:val="TableBodyText"/>
              <w:spacing w:before="20" w:after="20" w:line="233" w:lineRule="auto"/>
            </w:pPr>
            <w:r w:rsidRPr="00A25F2C">
              <w:t>Developer Contributions/Contributed Assets</w:t>
            </w:r>
          </w:p>
        </w:tc>
        <w:tc>
          <w:tcPr>
            <w:tcW w:w="588" w:type="pct"/>
          </w:tcPr>
          <w:p w14:paraId="0C3D916D" w14:textId="77777777" w:rsidR="007F4791" w:rsidRPr="00A25F2C" w:rsidRDefault="007F4791" w:rsidP="009A601F">
            <w:pPr>
              <w:pStyle w:val="TableBodyText"/>
              <w:spacing w:before="20" w:after="20" w:line="233" w:lineRule="auto"/>
              <w:jc w:val="right"/>
            </w:pPr>
            <w:r w:rsidRPr="00A25F2C">
              <w:t>190.3</w:t>
            </w:r>
          </w:p>
        </w:tc>
        <w:tc>
          <w:tcPr>
            <w:tcW w:w="609" w:type="pct"/>
          </w:tcPr>
          <w:p w14:paraId="3100CA88" w14:textId="77777777" w:rsidR="007F4791" w:rsidRPr="00A25F2C" w:rsidRDefault="007F4791" w:rsidP="009A601F">
            <w:pPr>
              <w:pStyle w:val="TableBodyText"/>
              <w:spacing w:before="20" w:after="20" w:line="233" w:lineRule="auto"/>
              <w:jc w:val="right"/>
            </w:pPr>
            <w:r w:rsidRPr="00A25F2C">
              <w:t>207.0</w:t>
            </w:r>
          </w:p>
        </w:tc>
        <w:tc>
          <w:tcPr>
            <w:tcW w:w="472" w:type="pct"/>
          </w:tcPr>
          <w:p w14:paraId="06668546" w14:textId="77777777" w:rsidR="007F4791" w:rsidRPr="00A25F2C" w:rsidRDefault="007F4791" w:rsidP="009A601F">
            <w:pPr>
              <w:pStyle w:val="TableBodyText"/>
              <w:spacing w:before="20" w:after="20" w:line="233" w:lineRule="auto"/>
              <w:jc w:val="right"/>
            </w:pPr>
            <w:r w:rsidRPr="00A25F2C">
              <w:t>220.0</w:t>
            </w:r>
          </w:p>
        </w:tc>
        <w:tc>
          <w:tcPr>
            <w:tcW w:w="471" w:type="pct"/>
          </w:tcPr>
          <w:p w14:paraId="261374F2" w14:textId="77777777" w:rsidR="007F4791" w:rsidRPr="00A25F2C" w:rsidRDefault="007F4791" w:rsidP="009A601F">
            <w:pPr>
              <w:pStyle w:val="TableBodyText"/>
              <w:spacing w:before="20" w:after="20" w:line="233" w:lineRule="auto"/>
              <w:jc w:val="right"/>
            </w:pPr>
            <w:r w:rsidRPr="00A25F2C">
              <w:t>217.0</w:t>
            </w:r>
          </w:p>
        </w:tc>
        <w:tc>
          <w:tcPr>
            <w:tcW w:w="472" w:type="pct"/>
          </w:tcPr>
          <w:p w14:paraId="537A2953" w14:textId="77777777" w:rsidR="007F4791" w:rsidRPr="00A25F2C" w:rsidRDefault="007F4791" w:rsidP="009A601F">
            <w:pPr>
              <w:pStyle w:val="TableBodyText"/>
              <w:spacing w:before="20" w:after="20" w:line="233" w:lineRule="auto"/>
              <w:jc w:val="right"/>
            </w:pPr>
            <w:r w:rsidRPr="00A25F2C">
              <w:t>237.0</w:t>
            </w:r>
          </w:p>
        </w:tc>
        <w:tc>
          <w:tcPr>
            <w:tcW w:w="470" w:type="pct"/>
          </w:tcPr>
          <w:p w14:paraId="109044F3" w14:textId="77777777" w:rsidR="007F4791" w:rsidRPr="00A25F2C" w:rsidRDefault="007F4791" w:rsidP="009A601F">
            <w:pPr>
              <w:pStyle w:val="TableBodyText"/>
              <w:spacing w:before="20" w:after="20" w:line="233" w:lineRule="auto"/>
              <w:jc w:val="right"/>
            </w:pPr>
            <w:r w:rsidRPr="00A25F2C">
              <w:t>237.0</w:t>
            </w:r>
          </w:p>
        </w:tc>
        <w:tc>
          <w:tcPr>
            <w:tcW w:w="447" w:type="pct"/>
          </w:tcPr>
          <w:p w14:paraId="09B1D20E" w14:textId="77777777" w:rsidR="007F4791" w:rsidRPr="00A25F2C" w:rsidRDefault="007F4791" w:rsidP="009A601F">
            <w:pPr>
              <w:pStyle w:val="TableBodyText"/>
              <w:spacing w:before="20" w:after="20" w:line="233" w:lineRule="auto"/>
              <w:jc w:val="right"/>
            </w:pPr>
            <w:r w:rsidRPr="00A25F2C">
              <w:t>237.0</w:t>
            </w:r>
          </w:p>
        </w:tc>
      </w:tr>
      <w:tr w:rsidR="007F4791" w:rsidRPr="00A25F2C" w14:paraId="07782CEE" w14:textId="77777777" w:rsidTr="00F13D2F">
        <w:tc>
          <w:tcPr>
            <w:tcW w:w="1470" w:type="pct"/>
          </w:tcPr>
          <w:p w14:paraId="376661F9" w14:textId="77777777" w:rsidR="007F4791" w:rsidRPr="00A25F2C" w:rsidRDefault="007F4791" w:rsidP="009A601F">
            <w:pPr>
              <w:pStyle w:val="TableBodyText"/>
              <w:spacing w:before="20" w:after="20" w:line="233" w:lineRule="auto"/>
            </w:pPr>
            <w:r w:rsidRPr="00A25F2C">
              <w:t>Net Asset Sales</w:t>
            </w:r>
          </w:p>
        </w:tc>
        <w:tc>
          <w:tcPr>
            <w:tcW w:w="588" w:type="pct"/>
          </w:tcPr>
          <w:p w14:paraId="6DC95D2E" w14:textId="77777777" w:rsidR="007F4791" w:rsidRPr="00A25F2C" w:rsidRDefault="007F4791" w:rsidP="009A601F">
            <w:pPr>
              <w:pStyle w:val="TableBodyText"/>
              <w:spacing w:before="20" w:after="20" w:line="233" w:lineRule="auto"/>
              <w:jc w:val="right"/>
            </w:pPr>
            <w:r w:rsidRPr="00A25F2C">
              <w:t>16.3</w:t>
            </w:r>
          </w:p>
        </w:tc>
        <w:tc>
          <w:tcPr>
            <w:tcW w:w="609" w:type="pct"/>
          </w:tcPr>
          <w:p w14:paraId="610891BD" w14:textId="77777777" w:rsidR="007F4791" w:rsidRPr="00A25F2C" w:rsidRDefault="007F4791" w:rsidP="009A601F">
            <w:pPr>
              <w:pStyle w:val="TableBodyText"/>
              <w:spacing w:before="20" w:after="20" w:line="233" w:lineRule="auto"/>
              <w:jc w:val="right"/>
            </w:pPr>
            <w:r w:rsidRPr="00A25F2C">
              <w:t>15.5</w:t>
            </w:r>
          </w:p>
        </w:tc>
        <w:tc>
          <w:tcPr>
            <w:tcW w:w="472" w:type="pct"/>
          </w:tcPr>
          <w:p w14:paraId="20CBEC62" w14:textId="77777777" w:rsidR="007F4791" w:rsidRPr="00A25F2C" w:rsidRDefault="007F4791" w:rsidP="009A601F">
            <w:pPr>
              <w:pStyle w:val="TableBodyText"/>
              <w:spacing w:before="20" w:after="20" w:line="233" w:lineRule="auto"/>
              <w:jc w:val="right"/>
            </w:pPr>
            <w:r w:rsidRPr="00A25F2C">
              <w:t>21.4</w:t>
            </w:r>
          </w:p>
        </w:tc>
        <w:tc>
          <w:tcPr>
            <w:tcW w:w="471" w:type="pct"/>
          </w:tcPr>
          <w:p w14:paraId="4A383495" w14:textId="77777777" w:rsidR="007F4791" w:rsidRPr="00A25F2C" w:rsidRDefault="007F4791" w:rsidP="009A601F">
            <w:pPr>
              <w:pStyle w:val="TableBodyText"/>
              <w:spacing w:before="20" w:after="20" w:line="233" w:lineRule="auto"/>
              <w:jc w:val="right"/>
            </w:pPr>
            <w:r w:rsidRPr="00A25F2C">
              <w:t>24.4</w:t>
            </w:r>
          </w:p>
        </w:tc>
        <w:tc>
          <w:tcPr>
            <w:tcW w:w="472" w:type="pct"/>
          </w:tcPr>
          <w:p w14:paraId="69460ED2" w14:textId="77777777" w:rsidR="007F4791" w:rsidRPr="00A25F2C" w:rsidRDefault="007F4791" w:rsidP="009A601F">
            <w:pPr>
              <w:pStyle w:val="TableBodyText"/>
              <w:spacing w:before="20" w:after="20" w:line="233" w:lineRule="auto"/>
              <w:jc w:val="right"/>
            </w:pPr>
            <w:r w:rsidRPr="00A25F2C">
              <w:t>10.3</w:t>
            </w:r>
          </w:p>
        </w:tc>
        <w:tc>
          <w:tcPr>
            <w:tcW w:w="470" w:type="pct"/>
          </w:tcPr>
          <w:p w14:paraId="3FB36E33" w14:textId="77777777" w:rsidR="007F4791" w:rsidRPr="00A25F2C" w:rsidRDefault="007F4791" w:rsidP="009A601F">
            <w:pPr>
              <w:pStyle w:val="TableBodyText"/>
              <w:spacing w:before="20" w:after="20" w:line="233" w:lineRule="auto"/>
              <w:jc w:val="right"/>
            </w:pPr>
            <w:r w:rsidRPr="00A25F2C">
              <w:t>20.9</w:t>
            </w:r>
          </w:p>
        </w:tc>
        <w:tc>
          <w:tcPr>
            <w:tcW w:w="447" w:type="pct"/>
          </w:tcPr>
          <w:p w14:paraId="6197612F" w14:textId="77777777" w:rsidR="007F4791" w:rsidRPr="00A25F2C" w:rsidRDefault="007F4791" w:rsidP="009A601F">
            <w:pPr>
              <w:pStyle w:val="TableBodyText"/>
              <w:spacing w:before="20" w:after="20" w:line="233" w:lineRule="auto"/>
              <w:jc w:val="right"/>
            </w:pPr>
            <w:r w:rsidRPr="00A25F2C">
              <w:t>0.4</w:t>
            </w:r>
          </w:p>
        </w:tc>
      </w:tr>
      <w:tr w:rsidR="007F4791" w:rsidRPr="00A25F2C" w14:paraId="40FA8E06" w14:textId="77777777" w:rsidTr="00F13D2F">
        <w:tc>
          <w:tcPr>
            <w:tcW w:w="1470" w:type="pct"/>
          </w:tcPr>
          <w:p w14:paraId="28606CAC" w14:textId="77777777" w:rsidR="007F4791" w:rsidRPr="00A25F2C" w:rsidRDefault="007F4791" w:rsidP="009A601F">
            <w:pPr>
              <w:pStyle w:val="TableBodyText"/>
              <w:spacing w:before="20" w:after="20" w:line="233" w:lineRule="auto"/>
            </w:pPr>
            <w:r w:rsidRPr="00A25F2C">
              <w:t>Other Revenue</w:t>
            </w:r>
          </w:p>
        </w:tc>
        <w:tc>
          <w:tcPr>
            <w:tcW w:w="588" w:type="pct"/>
          </w:tcPr>
          <w:p w14:paraId="1635BD88" w14:textId="77777777" w:rsidR="007F4791" w:rsidRPr="00A25F2C" w:rsidRDefault="007F4791" w:rsidP="009A601F">
            <w:pPr>
              <w:pStyle w:val="TableBodyText"/>
              <w:spacing w:before="20" w:after="20" w:line="233" w:lineRule="auto"/>
              <w:jc w:val="right"/>
            </w:pPr>
            <w:r w:rsidRPr="00A25F2C">
              <w:t>15.5</w:t>
            </w:r>
          </w:p>
        </w:tc>
        <w:tc>
          <w:tcPr>
            <w:tcW w:w="609" w:type="pct"/>
          </w:tcPr>
          <w:p w14:paraId="26B4C2FB" w14:textId="77777777" w:rsidR="007F4791" w:rsidRPr="00A25F2C" w:rsidRDefault="007F4791" w:rsidP="009A601F">
            <w:pPr>
              <w:pStyle w:val="TableBodyText"/>
              <w:spacing w:before="20" w:after="20" w:line="233" w:lineRule="auto"/>
              <w:jc w:val="right"/>
            </w:pPr>
            <w:r w:rsidRPr="00A25F2C">
              <w:t>10.4</w:t>
            </w:r>
          </w:p>
        </w:tc>
        <w:tc>
          <w:tcPr>
            <w:tcW w:w="472" w:type="pct"/>
          </w:tcPr>
          <w:p w14:paraId="7FA8CFFA" w14:textId="77777777" w:rsidR="007F4791" w:rsidRPr="00A25F2C" w:rsidRDefault="007F4791" w:rsidP="009A601F">
            <w:pPr>
              <w:pStyle w:val="TableBodyText"/>
              <w:spacing w:before="20" w:after="20" w:line="233" w:lineRule="auto"/>
              <w:jc w:val="right"/>
            </w:pPr>
            <w:r w:rsidRPr="00A25F2C">
              <w:t>10.6</w:t>
            </w:r>
          </w:p>
        </w:tc>
        <w:tc>
          <w:tcPr>
            <w:tcW w:w="471" w:type="pct"/>
          </w:tcPr>
          <w:p w14:paraId="0A3F9DE3" w14:textId="77777777" w:rsidR="007F4791" w:rsidRPr="00A25F2C" w:rsidRDefault="007F4791" w:rsidP="009A601F">
            <w:pPr>
              <w:pStyle w:val="TableBodyText"/>
              <w:spacing w:before="20" w:after="20" w:line="233" w:lineRule="auto"/>
              <w:jc w:val="right"/>
            </w:pPr>
            <w:r w:rsidRPr="00A25F2C">
              <w:t>10.9</w:t>
            </w:r>
          </w:p>
        </w:tc>
        <w:tc>
          <w:tcPr>
            <w:tcW w:w="472" w:type="pct"/>
          </w:tcPr>
          <w:p w14:paraId="4598CEE1" w14:textId="77777777" w:rsidR="007F4791" w:rsidRPr="00A25F2C" w:rsidRDefault="007F4791" w:rsidP="009A601F">
            <w:pPr>
              <w:pStyle w:val="TableBodyText"/>
              <w:spacing w:before="20" w:after="20" w:line="233" w:lineRule="auto"/>
              <w:jc w:val="right"/>
            </w:pPr>
            <w:r w:rsidRPr="00A25F2C">
              <w:t>11.2</w:t>
            </w:r>
          </w:p>
        </w:tc>
        <w:tc>
          <w:tcPr>
            <w:tcW w:w="470" w:type="pct"/>
          </w:tcPr>
          <w:p w14:paraId="1245572C" w14:textId="77777777" w:rsidR="007F4791" w:rsidRPr="00A25F2C" w:rsidRDefault="007F4791" w:rsidP="009A601F">
            <w:pPr>
              <w:pStyle w:val="TableBodyText"/>
              <w:spacing w:before="20" w:after="20" w:line="233" w:lineRule="auto"/>
              <w:jc w:val="right"/>
            </w:pPr>
            <w:r w:rsidRPr="00A25F2C">
              <w:t>11.5</w:t>
            </w:r>
          </w:p>
        </w:tc>
        <w:tc>
          <w:tcPr>
            <w:tcW w:w="447" w:type="pct"/>
          </w:tcPr>
          <w:p w14:paraId="092DE6C3" w14:textId="77777777" w:rsidR="007F4791" w:rsidRPr="00A25F2C" w:rsidRDefault="007F4791" w:rsidP="009A601F">
            <w:pPr>
              <w:pStyle w:val="TableBodyText"/>
              <w:spacing w:before="20" w:after="20" w:line="233" w:lineRule="auto"/>
              <w:jc w:val="right"/>
            </w:pPr>
            <w:r w:rsidRPr="00A25F2C">
              <w:t>11.7</w:t>
            </w:r>
          </w:p>
        </w:tc>
      </w:tr>
      <w:tr w:rsidR="007F4791" w:rsidRPr="00A25F2C" w14:paraId="7F163742" w14:textId="77777777" w:rsidTr="00F13D2F">
        <w:tc>
          <w:tcPr>
            <w:tcW w:w="1470" w:type="pct"/>
          </w:tcPr>
          <w:p w14:paraId="67274515" w14:textId="77777777" w:rsidR="007F4791" w:rsidRPr="00A25F2C" w:rsidRDefault="007F4791" w:rsidP="009A601F">
            <w:pPr>
              <w:pStyle w:val="TableBodyText"/>
              <w:spacing w:before="20" w:after="20" w:line="233" w:lineRule="auto"/>
            </w:pPr>
            <w:r w:rsidRPr="00A25F2C">
              <w:rPr>
                <w:b/>
              </w:rPr>
              <w:t>Total Operating Revenue</w:t>
            </w:r>
          </w:p>
        </w:tc>
        <w:tc>
          <w:tcPr>
            <w:tcW w:w="588" w:type="pct"/>
          </w:tcPr>
          <w:p w14:paraId="68922CB7" w14:textId="77777777" w:rsidR="007F4791" w:rsidRPr="00A25F2C" w:rsidRDefault="007F4791" w:rsidP="009A601F">
            <w:pPr>
              <w:pStyle w:val="TableBodyText"/>
              <w:spacing w:before="20" w:after="20" w:line="233" w:lineRule="auto"/>
              <w:jc w:val="right"/>
            </w:pPr>
            <w:r w:rsidRPr="00A25F2C">
              <w:rPr>
                <w:b/>
              </w:rPr>
              <w:t>1,861.1</w:t>
            </w:r>
          </w:p>
        </w:tc>
        <w:tc>
          <w:tcPr>
            <w:tcW w:w="609" w:type="pct"/>
          </w:tcPr>
          <w:p w14:paraId="4ACA4C82" w14:textId="77777777" w:rsidR="007F4791" w:rsidRPr="00A25F2C" w:rsidRDefault="007F4791" w:rsidP="009A601F">
            <w:pPr>
              <w:pStyle w:val="TableBodyText"/>
              <w:spacing w:before="20" w:after="20" w:line="233" w:lineRule="auto"/>
              <w:jc w:val="right"/>
            </w:pPr>
            <w:r w:rsidRPr="00A25F2C">
              <w:rPr>
                <w:b/>
              </w:rPr>
              <w:t>1,839.0</w:t>
            </w:r>
          </w:p>
        </w:tc>
        <w:tc>
          <w:tcPr>
            <w:tcW w:w="472" w:type="pct"/>
          </w:tcPr>
          <w:p w14:paraId="4DE603DF" w14:textId="77777777" w:rsidR="007F4791" w:rsidRPr="00A25F2C" w:rsidRDefault="007F4791" w:rsidP="009A601F">
            <w:pPr>
              <w:pStyle w:val="TableBodyText"/>
              <w:spacing w:before="20" w:after="20" w:line="233" w:lineRule="auto"/>
              <w:jc w:val="right"/>
            </w:pPr>
            <w:r w:rsidRPr="00A25F2C">
              <w:rPr>
                <w:b/>
              </w:rPr>
              <w:t>2,007.3</w:t>
            </w:r>
          </w:p>
        </w:tc>
        <w:tc>
          <w:tcPr>
            <w:tcW w:w="471" w:type="pct"/>
          </w:tcPr>
          <w:p w14:paraId="0C2F6A64" w14:textId="77777777" w:rsidR="007F4791" w:rsidRPr="00A25F2C" w:rsidRDefault="007F4791" w:rsidP="009A601F">
            <w:pPr>
              <w:pStyle w:val="TableBodyText"/>
              <w:spacing w:before="20" w:after="20" w:line="233" w:lineRule="auto"/>
              <w:jc w:val="right"/>
            </w:pPr>
            <w:r w:rsidRPr="00A25F2C">
              <w:rPr>
                <w:b/>
              </w:rPr>
              <w:t>2,134.1</w:t>
            </w:r>
          </w:p>
        </w:tc>
        <w:tc>
          <w:tcPr>
            <w:tcW w:w="472" w:type="pct"/>
          </w:tcPr>
          <w:p w14:paraId="121132C8" w14:textId="77777777" w:rsidR="007F4791" w:rsidRPr="00A25F2C" w:rsidRDefault="007F4791" w:rsidP="009A601F">
            <w:pPr>
              <w:pStyle w:val="TableBodyText"/>
              <w:spacing w:before="20" w:after="20" w:line="233" w:lineRule="auto"/>
              <w:jc w:val="right"/>
            </w:pPr>
            <w:r w:rsidRPr="00A25F2C">
              <w:rPr>
                <w:b/>
              </w:rPr>
              <w:t>2,222.9</w:t>
            </w:r>
          </w:p>
        </w:tc>
        <w:tc>
          <w:tcPr>
            <w:tcW w:w="470" w:type="pct"/>
          </w:tcPr>
          <w:p w14:paraId="38D5DBD4" w14:textId="77777777" w:rsidR="007F4791" w:rsidRPr="00A25F2C" w:rsidRDefault="007F4791" w:rsidP="009A601F">
            <w:pPr>
              <w:pStyle w:val="TableBodyText"/>
              <w:spacing w:before="20" w:after="20" w:line="233" w:lineRule="auto"/>
              <w:jc w:val="right"/>
            </w:pPr>
            <w:r w:rsidRPr="00A25F2C">
              <w:rPr>
                <w:b/>
              </w:rPr>
              <w:t>2,287.4</w:t>
            </w:r>
          </w:p>
        </w:tc>
        <w:tc>
          <w:tcPr>
            <w:tcW w:w="447" w:type="pct"/>
          </w:tcPr>
          <w:p w14:paraId="7F5F1E31" w14:textId="77777777" w:rsidR="007F4791" w:rsidRPr="00A25F2C" w:rsidRDefault="007F4791" w:rsidP="009A601F">
            <w:pPr>
              <w:pStyle w:val="TableBodyText"/>
              <w:spacing w:before="20" w:after="20" w:line="233" w:lineRule="auto"/>
              <w:jc w:val="right"/>
              <w:rPr>
                <w:b/>
              </w:rPr>
            </w:pPr>
            <w:r w:rsidRPr="00A25F2C">
              <w:rPr>
                <w:b/>
              </w:rPr>
              <w:t>2,346.1</w:t>
            </w:r>
          </w:p>
        </w:tc>
      </w:tr>
      <w:tr w:rsidR="007F4791" w:rsidRPr="00A25F2C" w14:paraId="1CBCE31A" w14:textId="77777777" w:rsidTr="00F13D2F">
        <w:tc>
          <w:tcPr>
            <w:tcW w:w="1470" w:type="pct"/>
          </w:tcPr>
          <w:p w14:paraId="1252C9C1" w14:textId="77777777" w:rsidR="007F4791" w:rsidRPr="00A25F2C" w:rsidRDefault="007F4791" w:rsidP="009A601F">
            <w:pPr>
              <w:pStyle w:val="TableBodyText"/>
              <w:spacing w:before="20" w:after="20" w:line="233" w:lineRule="auto"/>
            </w:pPr>
            <w:r w:rsidRPr="00A25F2C">
              <w:t>Labour</w:t>
            </w:r>
          </w:p>
        </w:tc>
        <w:tc>
          <w:tcPr>
            <w:tcW w:w="588" w:type="pct"/>
          </w:tcPr>
          <w:p w14:paraId="0D129E73" w14:textId="77777777" w:rsidR="007F4791" w:rsidRPr="00A25F2C" w:rsidRDefault="007F4791" w:rsidP="009A601F">
            <w:pPr>
              <w:pStyle w:val="TableBodyText"/>
              <w:spacing w:before="20" w:after="20" w:line="233" w:lineRule="auto"/>
              <w:jc w:val="right"/>
            </w:pPr>
            <w:r w:rsidRPr="00A25F2C">
              <w:t>156.0</w:t>
            </w:r>
          </w:p>
        </w:tc>
        <w:tc>
          <w:tcPr>
            <w:tcW w:w="609" w:type="pct"/>
          </w:tcPr>
          <w:p w14:paraId="1E555122" w14:textId="77777777" w:rsidR="007F4791" w:rsidRPr="00A25F2C" w:rsidRDefault="007F4791" w:rsidP="009A601F">
            <w:pPr>
              <w:pStyle w:val="TableBodyText"/>
              <w:spacing w:before="20" w:after="20" w:line="233" w:lineRule="auto"/>
              <w:jc w:val="right"/>
            </w:pPr>
            <w:r w:rsidRPr="00A25F2C">
              <w:t>154.8</w:t>
            </w:r>
          </w:p>
        </w:tc>
        <w:tc>
          <w:tcPr>
            <w:tcW w:w="472" w:type="pct"/>
          </w:tcPr>
          <w:p w14:paraId="4A165766" w14:textId="77777777" w:rsidR="007F4791" w:rsidRPr="00A25F2C" w:rsidRDefault="007F4791" w:rsidP="009A601F">
            <w:pPr>
              <w:pStyle w:val="TableBodyText"/>
              <w:spacing w:before="20" w:after="20" w:line="233" w:lineRule="auto"/>
              <w:jc w:val="right"/>
            </w:pPr>
            <w:r w:rsidRPr="00A25F2C">
              <w:t>178.4</w:t>
            </w:r>
          </w:p>
        </w:tc>
        <w:tc>
          <w:tcPr>
            <w:tcW w:w="471" w:type="pct"/>
          </w:tcPr>
          <w:p w14:paraId="5623B9EC" w14:textId="77777777" w:rsidR="007F4791" w:rsidRPr="00A25F2C" w:rsidRDefault="007F4791" w:rsidP="009A601F">
            <w:pPr>
              <w:pStyle w:val="TableBodyText"/>
              <w:spacing w:before="20" w:after="20" w:line="233" w:lineRule="auto"/>
              <w:jc w:val="right"/>
            </w:pPr>
            <w:r w:rsidRPr="00A25F2C">
              <w:t>187.0</w:t>
            </w:r>
          </w:p>
        </w:tc>
        <w:tc>
          <w:tcPr>
            <w:tcW w:w="472" w:type="pct"/>
          </w:tcPr>
          <w:p w14:paraId="33A072B8" w14:textId="77777777" w:rsidR="007F4791" w:rsidRPr="00A25F2C" w:rsidRDefault="007F4791" w:rsidP="009A601F">
            <w:pPr>
              <w:pStyle w:val="TableBodyText"/>
              <w:spacing w:before="20" w:after="20" w:line="233" w:lineRule="auto"/>
              <w:jc w:val="right"/>
            </w:pPr>
            <w:r w:rsidRPr="00A25F2C">
              <w:t>194.5</w:t>
            </w:r>
          </w:p>
        </w:tc>
        <w:tc>
          <w:tcPr>
            <w:tcW w:w="470" w:type="pct"/>
          </w:tcPr>
          <w:p w14:paraId="2D5DCA79" w14:textId="77777777" w:rsidR="007F4791" w:rsidRPr="00A25F2C" w:rsidRDefault="007F4791" w:rsidP="009A601F">
            <w:pPr>
              <w:pStyle w:val="TableBodyText"/>
              <w:spacing w:before="20" w:after="20" w:line="233" w:lineRule="auto"/>
              <w:jc w:val="right"/>
            </w:pPr>
            <w:r w:rsidRPr="00A25F2C">
              <w:t>200.2</w:t>
            </w:r>
          </w:p>
        </w:tc>
        <w:tc>
          <w:tcPr>
            <w:tcW w:w="447" w:type="pct"/>
          </w:tcPr>
          <w:p w14:paraId="022D3E55" w14:textId="77777777" w:rsidR="007F4791" w:rsidRPr="00A25F2C" w:rsidRDefault="007F4791" w:rsidP="009A601F">
            <w:pPr>
              <w:pStyle w:val="TableBodyText"/>
              <w:spacing w:before="20" w:after="20" w:line="233" w:lineRule="auto"/>
              <w:jc w:val="right"/>
            </w:pPr>
            <w:r w:rsidRPr="00A25F2C">
              <w:t>206.2</w:t>
            </w:r>
          </w:p>
        </w:tc>
      </w:tr>
      <w:tr w:rsidR="007F4791" w:rsidRPr="00A25F2C" w14:paraId="09F5C053" w14:textId="77777777" w:rsidTr="00F13D2F">
        <w:tc>
          <w:tcPr>
            <w:tcW w:w="1470" w:type="pct"/>
          </w:tcPr>
          <w:p w14:paraId="156113F9" w14:textId="77777777" w:rsidR="007F4791" w:rsidRPr="00A25F2C" w:rsidRDefault="007F4791" w:rsidP="009A601F">
            <w:pPr>
              <w:pStyle w:val="TableBodyText"/>
              <w:spacing w:before="20" w:after="20" w:line="233" w:lineRule="auto"/>
            </w:pPr>
            <w:r w:rsidRPr="00A25F2C">
              <w:t>External Services</w:t>
            </w:r>
          </w:p>
        </w:tc>
        <w:tc>
          <w:tcPr>
            <w:tcW w:w="588" w:type="pct"/>
          </w:tcPr>
          <w:p w14:paraId="4847F26D" w14:textId="77777777" w:rsidR="007F4791" w:rsidRPr="00A25F2C" w:rsidRDefault="007F4791" w:rsidP="009A601F">
            <w:pPr>
              <w:pStyle w:val="TableBodyText"/>
              <w:spacing w:before="20" w:after="20" w:line="233" w:lineRule="auto"/>
              <w:jc w:val="right"/>
            </w:pPr>
            <w:r w:rsidRPr="00A25F2C">
              <w:t>71.0</w:t>
            </w:r>
          </w:p>
        </w:tc>
        <w:tc>
          <w:tcPr>
            <w:tcW w:w="609" w:type="pct"/>
          </w:tcPr>
          <w:p w14:paraId="0B2C1791" w14:textId="77777777" w:rsidR="007F4791" w:rsidRPr="00A25F2C" w:rsidRDefault="007F4791" w:rsidP="009A601F">
            <w:pPr>
              <w:pStyle w:val="TableBodyText"/>
              <w:spacing w:before="20" w:after="20" w:line="233" w:lineRule="auto"/>
              <w:jc w:val="right"/>
            </w:pPr>
            <w:r w:rsidRPr="00A25F2C">
              <w:t>61.8</w:t>
            </w:r>
          </w:p>
        </w:tc>
        <w:tc>
          <w:tcPr>
            <w:tcW w:w="472" w:type="pct"/>
          </w:tcPr>
          <w:p w14:paraId="3590D298" w14:textId="77777777" w:rsidR="007F4791" w:rsidRPr="00A25F2C" w:rsidRDefault="007F4791" w:rsidP="009A601F">
            <w:pPr>
              <w:pStyle w:val="TableBodyText"/>
              <w:spacing w:before="20" w:after="20" w:line="233" w:lineRule="auto"/>
              <w:jc w:val="right"/>
            </w:pPr>
            <w:r w:rsidRPr="00A25F2C">
              <w:t>93.2</w:t>
            </w:r>
          </w:p>
        </w:tc>
        <w:tc>
          <w:tcPr>
            <w:tcW w:w="471" w:type="pct"/>
          </w:tcPr>
          <w:p w14:paraId="0FEBDE8C" w14:textId="77777777" w:rsidR="007F4791" w:rsidRPr="00A25F2C" w:rsidRDefault="007F4791" w:rsidP="009A601F">
            <w:pPr>
              <w:pStyle w:val="TableBodyText"/>
              <w:spacing w:before="20" w:after="20" w:line="233" w:lineRule="auto"/>
              <w:jc w:val="right"/>
            </w:pPr>
            <w:r w:rsidRPr="00A25F2C">
              <w:t>134.7</w:t>
            </w:r>
          </w:p>
        </w:tc>
        <w:tc>
          <w:tcPr>
            <w:tcW w:w="472" w:type="pct"/>
          </w:tcPr>
          <w:p w14:paraId="66C565B7" w14:textId="77777777" w:rsidR="007F4791" w:rsidRPr="00A25F2C" w:rsidRDefault="007F4791" w:rsidP="009A601F">
            <w:pPr>
              <w:pStyle w:val="TableBodyText"/>
              <w:spacing w:before="20" w:after="20" w:line="233" w:lineRule="auto"/>
              <w:jc w:val="right"/>
            </w:pPr>
            <w:r w:rsidRPr="00A25F2C">
              <w:t>66.4</w:t>
            </w:r>
          </w:p>
        </w:tc>
        <w:tc>
          <w:tcPr>
            <w:tcW w:w="470" w:type="pct"/>
          </w:tcPr>
          <w:p w14:paraId="3DDC1AE9" w14:textId="77777777" w:rsidR="007F4791" w:rsidRPr="00A25F2C" w:rsidRDefault="007F4791" w:rsidP="009A601F">
            <w:pPr>
              <w:pStyle w:val="TableBodyText"/>
              <w:spacing w:before="20" w:after="20" w:line="233" w:lineRule="auto"/>
              <w:jc w:val="right"/>
            </w:pPr>
            <w:r w:rsidRPr="00A25F2C">
              <w:t>68.1</w:t>
            </w:r>
          </w:p>
        </w:tc>
        <w:tc>
          <w:tcPr>
            <w:tcW w:w="447" w:type="pct"/>
          </w:tcPr>
          <w:p w14:paraId="40013908" w14:textId="77777777" w:rsidR="007F4791" w:rsidRPr="00A25F2C" w:rsidRDefault="007F4791" w:rsidP="009A601F">
            <w:pPr>
              <w:pStyle w:val="TableBodyText"/>
              <w:spacing w:before="20" w:after="20" w:line="233" w:lineRule="auto"/>
              <w:jc w:val="right"/>
            </w:pPr>
            <w:r w:rsidRPr="00A25F2C">
              <w:t>69.8</w:t>
            </w:r>
          </w:p>
        </w:tc>
      </w:tr>
      <w:tr w:rsidR="007F4791" w:rsidRPr="00A25F2C" w14:paraId="764C29E7" w14:textId="77777777" w:rsidTr="00F13D2F">
        <w:tc>
          <w:tcPr>
            <w:tcW w:w="1470" w:type="pct"/>
          </w:tcPr>
          <w:p w14:paraId="33DFF084" w14:textId="77777777" w:rsidR="007F4791" w:rsidRPr="00A25F2C" w:rsidRDefault="007F4791" w:rsidP="009A601F">
            <w:pPr>
              <w:pStyle w:val="TableBodyText"/>
              <w:spacing w:before="20" w:after="20" w:line="233" w:lineRule="auto"/>
            </w:pPr>
            <w:r w:rsidRPr="00A25F2C">
              <w:t>Maintenance</w:t>
            </w:r>
          </w:p>
        </w:tc>
        <w:tc>
          <w:tcPr>
            <w:tcW w:w="588" w:type="pct"/>
          </w:tcPr>
          <w:p w14:paraId="311AD2EB" w14:textId="77777777" w:rsidR="007F4791" w:rsidRPr="00A25F2C" w:rsidRDefault="007F4791" w:rsidP="009A601F">
            <w:pPr>
              <w:pStyle w:val="TableBodyText"/>
              <w:spacing w:before="20" w:after="20" w:line="233" w:lineRule="auto"/>
              <w:jc w:val="right"/>
            </w:pPr>
            <w:r w:rsidRPr="00A25F2C">
              <w:t>101.6</w:t>
            </w:r>
          </w:p>
        </w:tc>
        <w:tc>
          <w:tcPr>
            <w:tcW w:w="609" w:type="pct"/>
          </w:tcPr>
          <w:p w14:paraId="6D1A487A" w14:textId="77777777" w:rsidR="007F4791" w:rsidRPr="00A25F2C" w:rsidRDefault="007F4791" w:rsidP="009A601F">
            <w:pPr>
              <w:pStyle w:val="TableBodyText"/>
              <w:spacing w:before="20" w:after="20" w:line="233" w:lineRule="auto"/>
              <w:jc w:val="right"/>
            </w:pPr>
            <w:r w:rsidRPr="00A25F2C">
              <w:t>102.8</w:t>
            </w:r>
          </w:p>
        </w:tc>
        <w:tc>
          <w:tcPr>
            <w:tcW w:w="472" w:type="pct"/>
          </w:tcPr>
          <w:p w14:paraId="245B589F" w14:textId="77777777" w:rsidR="007F4791" w:rsidRPr="00A25F2C" w:rsidRDefault="007F4791" w:rsidP="009A601F">
            <w:pPr>
              <w:pStyle w:val="TableBodyText"/>
              <w:spacing w:before="20" w:after="20" w:line="233" w:lineRule="auto"/>
              <w:jc w:val="right"/>
            </w:pPr>
            <w:r w:rsidRPr="00A25F2C">
              <w:t>111.2</w:t>
            </w:r>
          </w:p>
        </w:tc>
        <w:tc>
          <w:tcPr>
            <w:tcW w:w="471" w:type="pct"/>
          </w:tcPr>
          <w:p w14:paraId="5F639F9B" w14:textId="77777777" w:rsidR="007F4791" w:rsidRPr="00A25F2C" w:rsidRDefault="007F4791" w:rsidP="009A601F">
            <w:pPr>
              <w:pStyle w:val="TableBodyText"/>
              <w:spacing w:before="20" w:after="20" w:line="233" w:lineRule="auto"/>
              <w:jc w:val="right"/>
            </w:pPr>
            <w:r w:rsidRPr="00A25F2C">
              <w:t>124.6</w:t>
            </w:r>
          </w:p>
        </w:tc>
        <w:tc>
          <w:tcPr>
            <w:tcW w:w="472" w:type="pct"/>
          </w:tcPr>
          <w:p w14:paraId="0BEEE0F7" w14:textId="77777777" w:rsidR="007F4791" w:rsidRPr="00A25F2C" w:rsidRDefault="007F4791" w:rsidP="009A601F">
            <w:pPr>
              <w:pStyle w:val="TableBodyText"/>
              <w:spacing w:before="20" w:after="20" w:line="233" w:lineRule="auto"/>
              <w:jc w:val="right"/>
            </w:pPr>
            <w:r w:rsidRPr="00A25F2C">
              <w:t>117.2</w:t>
            </w:r>
          </w:p>
        </w:tc>
        <w:tc>
          <w:tcPr>
            <w:tcW w:w="470" w:type="pct"/>
          </w:tcPr>
          <w:p w14:paraId="66392D88" w14:textId="77777777" w:rsidR="007F4791" w:rsidRPr="00A25F2C" w:rsidRDefault="007F4791" w:rsidP="009A601F">
            <w:pPr>
              <w:pStyle w:val="TableBodyText"/>
              <w:spacing w:before="20" w:after="20" w:line="233" w:lineRule="auto"/>
              <w:jc w:val="right"/>
            </w:pPr>
            <w:r w:rsidRPr="00A25F2C">
              <w:t>113.0</w:t>
            </w:r>
          </w:p>
        </w:tc>
        <w:tc>
          <w:tcPr>
            <w:tcW w:w="447" w:type="pct"/>
          </w:tcPr>
          <w:p w14:paraId="3A94B763" w14:textId="77777777" w:rsidR="007F4791" w:rsidRPr="00A25F2C" w:rsidRDefault="007F4791" w:rsidP="009A601F">
            <w:pPr>
              <w:pStyle w:val="TableBodyText"/>
              <w:spacing w:before="20" w:after="20" w:line="233" w:lineRule="auto"/>
              <w:jc w:val="right"/>
            </w:pPr>
            <w:r w:rsidRPr="00A25F2C">
              <w:t>115.7</w:t>
            </w:r>
          </w:p>
        </w:tc>
      </w:tr>
      <w:tr w:rsidR="007F4791" w:rsidRPr="00A25F2C" w14:paraId="6BD2770C" w14:textId="77777777" w:rsidTr="00F13D2F">
        <w:tc>
          <w:tcPr>
            <w:tcW w:w="1470" w:type="pct"/>
          </w:tcPr>
          <w:p w14:paraId="62F0740F" w14:textId="77777777" w:rsidR="007F4791" w:rsidRPr="00A25F2C" w:rsidRDefault="007F4791" w:rsidP="009A601F">
            <w:pPr>
              <w:pStyle w:val="TableBodyText"/>
              <w:spacing w:before="20" w:after="20" w:line="233" w:lineRule="auto"/>
            </w:pPr>
            <w:r w:rsidRPr="00A25F2C">
              <w:t>Materials</w:t>
            </w:r>
          </w:p>
        </w:tc>
        <w:tc>
          <w:tcPr>
            <w:tcW w:w="588" w:type="pct"/>
          </w:tcPr>
          <w:p w14:paraId="3DA14814" w14:textId="77777777" w:rsidR="007F4791" w:rsidRPr="00A25F2C" w:rsidRDefault="007F4791" w:rsidP="009A601F">
            <w:pPr>
              <w:pStyle w:val="TableBodyText"/>
              <w:spacing w:before="20" w:after="20" w:line="233" w:lineRule="auto"/>
              <w:jc w:val="right"/>
            </w:pPr>
            <w:r w:rsidRPr="00A25F2C">
              <w:t>12.6</w:t>
            </w:r>
          </w:p>
        </w:tc>
        <w:tc>
          <w:tcPr>
            <w:tcW w:w="609" w:type="pct"/>
          </w:tcPr>
          <w:p w14:paraId="6F56FEEE" w14:textId="77777777" w:rsidR="007F4791" w:rsidRPr="00A25F2C" w:rsidRDefault="007F4791" w:rsidP="009A601F">
            <w:pPr>
              <w:pStyle w:val="TableBodyText"/>
              <w:spacing w:before="20" w:after="20" w:line="233" w:lineRule="auto"/>
              <w:jc w:val="right"/>
            </w:pPr>
            <w:r w:rsidRPr="00A25F2C">
              <w:t>12.8</w:t>
            </w:r>
          </w:p>
        </w:tc>
        <w:tc>
          <w:tcPr>
            <w:tcW w:w="472" w:type="pct"/>
          </w:tcPr>
          <w:p w14:paraId="777EDE3A" w14:textId="77777777" w:rsidR="007F4791" w:rsidRPr="00A25F2C" w:rsidRDefault="007F4791" w:rsidP="009A601F">
            <w:pPr>
              <w:pStyle w:val="TableBodyText"/>
              <w:spacing w:before="20" w:after="20" w:line="233" w:lineRule="auto"/>
              <w:jc w:val="right"/>
            </w:pPr>
            <w:r w:rsidRPr="00A25F2C">
              <w:t>13.1</w:t>
            </w:r>
          </w:p>
        </w:tc>
        <w:tc>
          <w:tcPr>
            <w:tcW w:w="471" w:type="pct"/>
          </w:tcPr>
          <w:p w14:paraId="59205B51" w14:textId="77777777" w:rsidR="007F4791" w:rsidRPr="00A25F2C" w:rsidRDefault="007F4791" w:rsidP="009A601F">
            <w:pPr>
              <w:pStyle w:val="TableBodyText"/>
              <w:spacing w:before="20" w:after="20" w:line="233" w:lineRule="auto"/>
              <w:jc w:val="right"/>
            </w:pPr>
            <w:r w:rsidRPr="00A25F2C">
              <w:t>13.5</w:t>
            </w:r>
          </w:p>
        </w:tc>
        <w:tc>
          <w:tcPr>
            <w:tcW w:w="472" w:type="pct"/>
          </w:tcPr>
          <w:p w14:paraId="495C2331" w14:textId="77777777" w:rsidR="007F4791" w:rsidRPr="00A25F2C" w:rsidRDefault="007F4791" w:rsidP="009A601F">
            <w:pPr>
              <w:pStyle w:val="TableBodyText"/>
              <w:spacing w:before="20" w:after="20" w:line="233" w:lineRule="auto"/>
              <w:jc w:val="right"/>
            </w:pPr>
            <w:r w:rsidRPr="00A25F2C">
              <w:t>13.8</w:t>
            </w:r>
          </w:p>
        </w:tc>
        <w:tc>
          <w:tcPr>
            <w:tcW w:w="470" w:type="pct"/>
          </w:tcPr>
          <w:p w14:paraId="6EBEF6CC" w14:textId="77777777" w:rsidR="007F4791" w:rsidRPr="00A25F2C" w:rsidRDefault="007F4791" w:rsidP="009A601F">
            <w:pPr>
              <w:pStyle w:val="TableBodyText"/>
              <w:spacing w:before="20" w:after="20" w:line="233" w:lineRule="auto"/>
              <w:jc w:val="right"/>
            </w:pPr>
            <w:r w:rsidRPr="00A25F2C">
              <w:t>14.1</w:t>
            </w:r>
          </w:p>
        </w:tc>
        <w:tc>
          <w:tcPr>
            <w:tcW w:w="447" w:type="pct"/>
          </w:tcPr>
          <w:p w14:paraId="2F0EF4CF" w14:textId="77777777" w:rsidR="007F4791" w:rsidRPr="00A25F2C" w:rsidRDefault="007F4791" w:rsidP="009A601F">
            <w:pPr>
              <w:pStyle w:val="TableBodyText"/>
              <w:spacing w:before="20" w:after="20" w:line="233" w:lineRule="auto"/>
              <w:jc w:val="right"/>
            </w:pPr>
            <w:r w:rsidRPr="00A25F2C">
              <w:t>14.5</w:t>
            </w:r>
          </w:p>
        </w:tc>
      </w:tr>
      <w:tr w:rsidR="007F4791" w:rsidRPr="00A25F2C" w14:paraId="3230543A" w14:textId="77777777" w:rsidTr="00F13D2F">
        <w:tc>
          <w:tcPr>
            <w:tcW w:w="1470" w:type="pct"/>
          </w:tcPr>
          <w:p w14:paraId="042DFD00" w14:textId="77777777" w:rsidR="007F4791" w:rsidRPr="00A25F2C" w:rsidRDefault="007F4791" w:rsidP="009A601F">
            <w:pPr>
              <w:pStyle w:val="TableBodyText"/>
              <w:spacing w:before="20" w:after="20" w:line="233" w:lineRule="auto"/>
            </w:pPr>
            <w:r w:rsidRPr="00A25F2C">
              <w:t>IT</w:t>
            </w:r>
          </w:p>
        </w:tc>
        <w:tc>
          <w:tcPr>
            <w:tcW w:w="588" w:type="pct"/>
          </w:tcPr>
          <w:p w14:paraId="734FA35E" w14:textId="77777777" w:rsidR="007F4791" w:rsidRPr="00A25F2C" w:rsidRDefault="007F4791" w:rsidP="009A601F">
            <w:pPr>
              <w:pStyle w:val="TableBodyText"/>
              <w:spacing w:before="20" w:after="20" w:line="233" w:lineRule="auto"/>
              <w:jc w:val="right"/>
            </w:pPr>
            <w:r w:rsidRPr="00A25F2C">
              <w:t>36.4</w:t>
            </w:r>
          </w:p>
        </w:tc>
        <w:tc>
          <w:tcPr>
            <w:tcW w:w="609" w:type="pct"/>
          </w:tcPr>
          <w:p w14:paraId="513B3A18" w14:textId="77777777" w:rsidR="007F4791" w:rsidRPr="00A25F2C" w:rsidRDefault="007F4791" w:rsidP="009A601F">
            <w:pPr>
              <w:pStyle w:val="TableBodyText"/>
              <w:spacing w:before="20" w:after="20" w:line="233" w:lineRule="auto"/>
              <w:jc w:val="right"/>
            </w:pPr>
            <w:r w:rsidRPr="00A25F2C">
              <w:t>36.4</w:t>
            </w:r>
          </w:p>
        </w:tc>
        <w:tc>
          <w:tcPr>
            <w:tcW w:w="472" w:type="pct"/>
          </w:tcPr>
          <w:p w14:paraId="683088C0" w14:textId="77777777" w:rsidR="007F4791" w:rsidRPr="00A25F2C" w:rsidRDefault="007F4791" w:rsidP="009A601F">
            <w:pPr>
              <w:pStyle w:val="TableBodyText"/>
              <w:spacing w:before="20" w:after="20" w:line="233" w:lineRule="auto"/>
              <w:jc w:val="right"/>
            </w:pPr>
            <w:r w:rsidRPr="00A25F2C">
              <w:t>37.2</w:t>
            </w:r>
          </w:p>
        </w:tc>
        <w:tc>
          <w:tcPr>
            <w:tcW w:w="471" w:type="pct"/>
          </w:tcPr>
          <w:p w14:paraId="28FB2C61" w14:textId="77777777" w:rsidR="007F4791" w:rsidRPr="00A25F2C" w:rsidRDefault="007F4791" w:rsidP="009A601F">
            <w:pPr>
              <w:pStyle w:val="TableBodyText"/>
              <w:spacing w:before="20" w:after="20" w:line="233" w:lineRule="auto"/>
              <w:jc w:val="right"/>
            </w:pPr>
            <w:r w:rsidRPr="00A25F2C">
              <w:t>38.2</w:t>
            </w:r>
          </w:p>
        </w:tc>
        <w:tc>
          <w:tcPr>
            <w:tcW w:w="472" w:type="pct"/>
          </w:tcPr>
          <w:p w14:paraId="46E25E07" w14:textId="77777777" w:rsidR="007F4791" w:rsidRPr="00A25F2C" w:rsidRDefault="007F4791" w:rsidP="009A601F">
            <w:pPr>
              <w:pStyle w:val="TableBodyText"/>
              <w:spacing w:before="20" w:after="20" w:line="233" w:lineRule="auto"/>
              <w:jc w:val="right"/>
            </w:pPr>
            <w:r w:rsidRPr="00A25F2C">
              <w:t>39.1</w:t>
            </w:r>
          </w:p>
        </w:tc>
        <w:tc>
          <w:tcPr>
            <w:tcW w:w="470" w:type="pct"/>
          </w:tcPr>
          <w:p w14:paraId="753E15BF" w14:textId="77777777" w:rsidR="007F4791" w:rsidRPr="00A25F2C" w:rsidRDefault="007F4791" w:rsidP="009A601F">
            <w:pPr>
              <w:pStyle w:val="TableBodyText"/>
              <w:spacing w:before="20" w:after="20" w:line="233" w:lineRule="auto"/>
              <w:jc w:val="right"/>
            </w:pPr>
            <w:r w:rsidRPr="00A25F2C">
              <w:t>40.1</w:t>
            </w:r>
          </w:p>
        </w:tc>
        <w:tc>
          <w:tcPr>
            <w:tcW w:w="447" w:type="pct"/>
          </w:tcPr>
          <w:p w14:paraId="69D52D1B" w14:textId="77777777" w:rsidR="007F4791" w:rsidRPr="00A25F2C" w:rsidRDefault="007F4791" w:rsidP="009A601F">
            <w:pPr>
              <w:pStyle w:val="TableBodyText"/>
              <w:spacing w:before="20" w:after="20" w:line="233" w:lineRule="auto"/>
              <w:jc w:val="right"/>
            </w:pPr>
            <w:r w:rsidRPr="00A25F2C">
              <w:t>41.1</w:t>
            </w:r>
          </w:p>
        </w:tc>
      </w:tr>
      <w:tr w:rsidR="007F4791" w:rsidRPr="00A25F2C" w14:paraId="2269C0EE" w14:textId="77777777" w:rsidTr="00F13D2F">
        <w:tc>
          <w:tcPr>
            <w:tcW w:w="1470" w:type="pct"/>
          </w:tcPr>
          <w:p w14:paraId="031C12BC" w14:textId="77777777" w:rsidR="007F4791" w:rsidRPr="00A25F2C" w:rsidRDefault="007F4791" w:rsidP="009A601F">
            <w:pPr>
              <w:pStyle w:val="TableBodyText"/>
              <w:spacing w:before="20" w:after="20" w:line="233" w:lineRule="auto"/>
            </w:pPr>
            <w:r w:rsidRPr="00A25F2C">
              <w:t>Energy</w:t>
            </w:r>
          </w:p>
        </w:tc>
        <w:tc>
          <w:tcPr>
            <w:tcW w:w="588" w:type="pct"/>
          </w:tcPr>
          <w:p w14:paraId="67076BB8" w14:textId="77777777" w:rsidR="007F4791" w:rsidRPr="00A25F2C" w:rsidRDefault="007F4791" w:rsidP="009A601F">
            <w:pPr>
              <w:pStyle w:val="TableBodyText"/>
              <w:spacing w:before="20" w:after="20" w:line="233" w:lineRule="auto"/>
              <w:jc w:val="right"/>
            </w:pPr>
            <w:r w:rsidRPr="00A25F2C">
              <w:t>33.2</w:t>
            </w:r>
          </w:p>
        </w:tc>
        <w:tc>
          <w:tcPr>
            <w:tcW w:w="609" w:type="pct"/>
          </w:tcPr>
          <w:p w14:paraId="22BC5F3E" w14:textId="77777777" w:rsidR="007F4791" w:rsidRPr="00A25F2C" w:rsidRDefault="007F4791" w:rsidP="009A601F">
            <w:pPr>
              <w:pStyle w:val="TableBodyText"/>
              <w:spacing w:before="20" w:after="20" w:line="233" w:lineRule="auto"/>
              <w:jc w:val="right"/>
            </w:pPr>
            <w:r w:rsidRPr="00A25F2C">
              <w:t>36.8</w:t>
            </w:r>
          </w:p>
        </w:tc>
        <w:tc>
          <w:tcPr>
            <w:tcW w:w="472" w:type="pct"/>
          </w:tcPr>
          <w:p w14:paraId="2F9E9F7F" w14:textId="77777777" w:rsidR="007F4791" w:rsidRPr="00A25F2C" w:rsidRDefault="007F4791" w:rsidP="009A601F">
            <w:pPr>
              <w:pStyle w:val="TableBodyText"/>
              <w:spacing w:before="20" w:after="20" w:line="233" w:lineRule="auto"/>
              <w:jc w:val="right"/>
            </w:pPr>
            <w:r w:rsidRPr="00A25F2C">
              <w:t>48.8</w:t>
            </w:r>
          </w:p>
        </w:tc>
        <w:tc>
          <w:tcPr>
            <w:tcW w:w="471" w:type="pct"/>
          </w:tcPr>
          <w:p w14:paraId="73599A09" w14:textId="77777777" w:rsidR="007F4791" w:rsidRPr="00A25F2C" w:rsidRDefault="007F4791" w:rsidP="009A601F">
            <w:pPr>
              <w:pStyle w:val="TableBodyText"/>
              <w:spacing w:before="20" w:after="20" w:line="233" w:lineRule="auto"/>
              <w:jc w:val="right"/>
            </w:pPr>
            <w:r w:rsidRPr="00A25F2C">
              <w:t>50.5</w:t>
            </w:r>
          </w:p>
        </w:tc>
        <w:tc>
          <w:tcPr>
            <w:tcW w:w="472" w:type="pct"/>
          </w:tcPr>
          <w:p w14:paraId="4F772F60" w14:textId="77777777" w:rsidR="007F4791" w:rsidRPr="00A25F2C" w:rsidRDefault="007F4791" w:rsidP="009A601F">
            <w:pPr>
              <w:pStyle w:val="TableBodyText"/>
              <w:spacing w:before="20" w:after="20" w:line="233" w:lineRule="auto"/>
              <w:jc w:val="right"/>
            </w:pPr>
            <w:r w:rsidRPr="00A25F2C">
              <w:t>55.3</w:t>
            </w:r>
          </w:p>
        </w:tc>
        <w:tc>
          <w:tcPr>
            <w:tcW w:w="470" w:type="pct"/>
          </w:tcPr>
          <w:p w14:paraId="2A614321" w14:textId="77777777" w:rsidR="007F4791" w:rsidRPr="00A25F2C" w:rsidRDefault="007F4791" w:rsidP="009A601F">
            <w:pPr>
              <w:pStyle w:val="TableBodyText"/>
              <w:spacing w:before="20" w:after="20" w:line="233" w:lineRule="auto"/>
              <w:jc w:val="right"/>
            </w:pPr>
            <w:r w:rsidRPr="00A25F2C">
              <w:t>51.4</w:t>
            </w:r>
          </w:p>
        </w:tc>
        <w:tc>
          <w:tcPr>
            <w:tcW w:w="447" w:type="pct"/>
          </w:tcPr>
          <w:p w14:paraId="705906E0" w14:textId="77777777" w:rsidR="007F4791" w:rsidRPr="00A25F2C" w:rsidRDefault="007F4791" w:rsidP="009A601F">
            <w:pPr>
              <w:pStyle w:val="TableBodyText"/>
              <w:spacing w:before="20" w:after="20" w:line="233" w:lineRule="auto"/>
              <w:jc w:val="right"/>
            </w:pPr>
            <w:r w:rsidRPr="00A25F2C">
              <w:t>53.3</w:t>
            </w:r>
          </w:p>
        </w:tc>
      </w:tr>
      <w:tr w:rsidR="007F4791" w:rsidRPr="00A25F2C" w14:paraId="34904C94" w14:textId="77777777" w:rsidTr="00F13D2F">
        <w:tc>
          <w:tcPr>
            <w:tcW w:w="1470" w:type="pct"/>
          </w:tcPr>
          <w:p w14:paraId="4E1B202F" w14:textId="77777777" w:rsidR="007F4791" w:rsidRPr="00A25F2C" w:rsidRDefault="007F4791" w:rsidP="009A601F">
            <w:pPr>
              <w:pStyle w:val="TableBodyText"/>
              <w:spacing w:before="20" w:after="20" w:line="233" w:lineRule="auto"/>
            </w:pPr>
            <w:r w:rsidRPr="00A25F2C">
              <w:t>Fees &amp; Charges</w:t>
            </w:r>
          </w:p>
        </w:tc>
        <w:tc>
          <w:tcPr>
            <w:tcW w:w="588" w:type="pct"/>
          </w:tcPr>
          <w:p w14:paraId="01AE8DFC" w14:textId="77777777" w:rsidR="007F4791" w:rsidRPr="00A25F2C" w:rsidRDefault="007F4791" w:rsidP="009A601F">
            <w:pPr>
              <w:pStyle w:val="TableBodyText"/>
              <w:spacing w:before="20" w:after="20" w:line="233" w:lineRule="auto"/>
              <w:jc w:val="right"/>
            </w:pPr>
            <w:r w:rsidRPr="00A25F2C">
              <w:t>12.2</w:t>
            </w:r>
          </w:p>
        </w:tc>
        <w:tc>
          <w:tcPr>
            <w:tcW w:w="609" w:type="pct"/>
          </w:tcPr>
          <w:p w14:paraId="2089A709" w14:textId="77777777" w:rsidR="007F4791" w:rsidRPr="00A25F2C" w:rsidRDefault="007F4791" w:rsidP="009A601F">
            <w:pPr>
              <w:pStyle w:val="TableBodyText"/>
              <w:spacing w:before="20" w:after="20" w:line="233" w:lineRule="auto"/>
              <w:jc w:val="right"/>
            </w:pPr>
            <w:r w:rsidRPr="00A25F2C">
              <w:t>11.7</w:t>
            </w:r>
          </w:p>
        </w:tc>
        <w:tc>
          <w:tcPr>
            <w:tcW w:w="472" w:type="pct"/>
          </w:tcPr>
          <w:p w14:paraId="5BD9B75F" w14:textId="77777777" w:rsidR="007F4791" w:rsidRPr="00A25F2C" w:rsidRDefault="007F4791" w:rsidP="009A601F">
            <w:pPr>
              <w:pStyle w:val="TableBodyText"/>
              <w:spacing w:before="20" w:after="20" w:line="233" w:lineRule="auto"/>
              <w:jc w:val="right"/>
            </w:pPr>
            <w:r w:rsidRPr="00A25F2C">
              <w:t>12.1</w:t>
            </w:r>
          </w:p>
        </w:tc>
        <w:tc>
          <w:tcPr>
            <w:tcW w:w="471" w:type="pct"/>
          </w:tcPr>
          <w:p w14:paraId="4A5CA3B5" w14:textId="77777777" w:rsidR="007F4791" w:rsidRPr="00A25F2C" w:rsidRDefault="007F4791" w:rsidP="009A601F">
            <w:pPr>
              <w:pStyle w:val="TableBodyText"/>
              <w:spacing w:before="20" w:after="20" w:line="233" w:lineRule="auto"/>
              <w:jc w:val="right"/>
            </w:pPr>
            <w:r w:rsidRPr="00A25F2C">
              <w:t>12.3</w:t>
            </w:r>
          </w:p>
        </w:tc>
        <w:tc>
          <w:tcPr>
            <w:tcW w:w="472" w:type="pct"/>
          </w:tcPr>
          <w:p w14:paraId="5F013BAE" w14:textId="77777777" w:rsidR="007F4791" w:rsidRPr="00A25F2C" w:rsidRDefault="007F4791" w:rsidP="009A601F">
            <w:pPr>
              <w:pStyle w:val="TableBodyText"/>
              <w:spacing w:before="20" w:after="20" w:line="233" w:lineRule="auto"/>
              <w:jc w:val="right"/>
            </w:pPr>
            <w:r w:rsidRPr="00A25F2C">
              <w:t>12.5</w:t>
            </w:r>
          </w:p>
        </w:tc>
        <w:tc>
          <w:tcPr>
            <w:tcW w:w="470" w:type="pct"/>
          </w:tcPr>
          <w:p w14:paraId="4D5B75C0" w14:textId="77777777" w:rsidR="007F4791" w:rsidRPr="00A25F2C" w:rsidRDefault="007F4791" w:rsidP="009A601F">
            <w:pPr>
              <w:pStyle w:val="TableBodyText"/>
              <w:spacing w:before="20" w:after="20" w:line="233" w:lineRule="auto"/>
              <w:jc w:val="right"/>
            </w:pPr>
            <w:r w:rsidRPr="00A25F2C">
              <w:t>12.8</w:t>
            </w:r>
          </w:p>
        </w:tc>
        <w:tc>
          <w:tcPr>
            <w:tcW w:w="447" w:type="pct"/>
          </w:tcPr>
          <w:p w14:paraId="48C12409" w14:textId="77777777" w:rsidR="007F4791" w:rsidRPr="00A25F2C" w:rsidRDefault="007F4791" w:rsidP="009A601F">
            <w:pPr>
              <w:pStyle w:val="TableBodyText"/>
              <w:spacing w:before="20" w:after="20" w:line="233" w:lineRule="auto"/>
              <w:jc w:val="right"/>
            </w:pPr>
            <w:r w:rsidRPr="00A25F2C">
              <w:t>13.1</w:t>
            </w:r>
          </w:p>
        </w:tc>
      </w:tr>
      <w:tr w:rsidR="007F4791" w:rsidRPr="00A25F2C" w14:paraId="5BAAFC0D" w14:textId="77777777" w:rsidTr="00F13D2F">
        <w:tc>
          <w:tcPr>
            <w:tcW w:w="1470" w:type="pct"/>
          </w:tcPr>
          <w:p w14:paraId="1ED6A568" w14:textId="77777777" w:rsidR="007F4791" w:rsidRPr="00A25F2C" w:rsidRDefault="007F4791" w:rsidP="009A601F">
            <w:pPr>
              <w:pStyle w:val="TableBodyText"/>
              <w:spacing w:before="20" w:after="20" w:line="233" w:lineRule="auto"/>
            </w:pPr>
            <w:r w:rsidRPr="00A25F2C">
              <w:t>Transport</w:t>
            </w:r>
          </w:p>
        </w:tc>
        <w:tc>
          <w:tcPr>
            <w:tcW w:w="588" w:type="pct"/>
          </w:tcPr>
          <w:p w14:paraId="2B943FE1" w14:textId="77777777" w:rsidR="007F4791" w:rsidRPr="00A25F2C" w:rsidRDefault="007F4791" w:rsidP="009A601F">
            <w:pPr>
              <w:pStyle w:val="TableBodyText"/>
              <w:spacing w:before="20" w:after="20" w:line="233" w:lineRule="auto"/>
              <w:jc w:val="right"/>
            </w:pPr>
            <w:r w:rsidRPr="00A25F2C">
              <w:t>3.5</w:t>
            </w:r>
          </w:p>
        </w:tc>
        <w:tc>
          <w:tcPr>
            <w:tcW w:w="609" w:type="pct"/>
          </w:tcPr>
          <w:p w14:paraId="71635DF2" w14:textId="77777777" w:rsidR="007F4791" w:rsidRPr="00A25F2C" w:rsidRDefault="007F4791" w:rsidP="009A601F">
            <w:pPr>
              <w:pStyle w:val="TableBodyText"/>
              <w:spacing w:before="20" w:after="20" w:line="233" w:lineRule="auto"/>
              <w:jc w:val="right"/>
            </w:pPr>
            <w:r w:rsidRPr="00A25F2C">
              <w:t>3.6</w:t>
            </w:r>
          </w:p>
        </w:tc>
        <w:tc>
          <w:tcPr>
            <w:tcW w:w="472" w:type="pct"/>
          </w:tcPr>
          <w:p w14:paraId="0C180A7F" w14:textId="77777777" w:rsidR="007F4791" w:rsidRPr="00A25F2C" w:rsidRDefault="007F4791" w:rsidP="009A601F">
            <w:pPr>
              <w:pStyle w:val="TableBodyText"/>
              <w:spacing w:before="20" w:after="20" w:line="233" w:lineRule="auto"/>
              <w:jc w:val="right"/>
            </w:pPr>
            <w:r w:rsidRPr="00A25F2C">
              <w:t>3.7</w:t>
            </w:r>
          </w:p>
        </w:tc>
        <w:tc>
          <w:tcPr>
            <w:tcW w:w="471" w:type="pct"/>
          </w:tcPr>
          <w:p w14:paraId="11576E1A" w14:textId="77777777" w:rsidR="007F4791" w:rsidRPr="00A25F2C" w:rsidRDefault="007F4791" w:rsidP="009A601F">
            <w:pPr>
              <w:pStyle w:val="TableBodyText"/>
              <w:spacing w:before="20" w:after="20" w:line="233" w:lineRule="auto"/>
              <w:jc w:val="right"/>
            </w:pPr>
            <w:r w:rsidRPr="00A25F2C">
              <w:t>3.8</w:t>
            </w:r>
          </w:p>
        </w:tc>
        <w:tc>
          <w:tcPr>
            <w:tcW w:w="472" w:type="pct"/>
          </w:tcPr>
          <w:p w14:paraId="62278541" w14:textId="77777777" w:rsidR="007F4791" w:rsidRPr="00A25F2C" w:rsidRDefault="007F4791" w:rsidP="009A601F">
            <w:pPr>
              <w:pStyle w:val="TableBodyText"/>
              <w:spacing w:before="20" w:after="20" w:line="233" w:lineRule="auto"/>
              <w:jc w:val="right"/>
            </w:pPr>
            <w:r w:rsidRPr="00A25F2C">
              <w:t>3.9</w:t>
            </w:r>
          </w:p>
        </w:tc>
        <w:tc>
          <w:tcPr>
            <w:tcW w:w="470" w:type="pct"/>
          </w:tcPr>
          <w:p w14:paraId="212FF617" w14:textId="77777777" w:rsidR="007F4791" w:rsidRPr="00A25F2C" w:rsidRDefault="007F4791" w:rsidP="009A601F">
            <w:pPr>
              <w:pStyle w:val="TableBodyText"/>
              <w:spacing w:before="20" w:after="20" w:line="233" w:lineRule="auto"/>
              <w:jc w:val="right"/>
            </w:pPr>
            <w:r w:rsidRPr="00A25F2C">
              <w:t>4.0</w:t>
            </w:r>
          </w:p>
        </w:tc>
        <w:tc>
          <w:tcPr>
            <w:tcW w:w="447" w:type="pct"/>
          </w:tcPr>
          <w:p w14:paraId="4800A446" w14:textId="77777777" w:rsidR="007F4791" w:rsidRPr="00A25F2C" w:rsidRDefault="007F4791" w:rsidP="009A601F">
            <w:pPr>
              <w:pStyle w:val="TableBodyText"/>
              <w:spacing w:before="20" w:after="20" w:line="233" w:lineRule="auto"/>
              <w:jc w:val="right"/>
            </w:pPr>
            <w:r w:rsidRPr="00A25F2C">
              <w:t>4.1</w:t>
            </w:r>
          </w:p>
        </w:tc>
      </w:tr>
      <w:tr w:rsidR="007F4791" w:rsidRPr="00A25F2C" w14:paraId="394E17EF" w14:textId="77777777" w:rsidTr="00F13D2F">
        <w:tc>
          <w:tcPr>
            <w:tcW w:w="1470" w:type="pct"/>
          </w:tcPr>
          <w:p w14:paraId="49946AC5" w14:textId="77777777" w:rsidR="007F4791" w:rsidRPr="00A25F2C" w:rsidRDefault="007F4791" w:rsidP="009A601F">
            <w:pPr>
              <w:pStyle w:val="TableBodyText"/>
              <w:spacing w:before="20" w:after="20" w:line="233" w:lineRule="auto"/>
            </w:pPr>
            <w:r w:rsidRPr="00A25F2C">
              <w:t>Rental &amp; Insurance</w:t>
            </w:r>
          </w:p>
        </w:tc>
        <w:tc>
          <w:tcPr>
            <w:tcW w:w="588" w:type="pct"/>
          </w:tcPr>
          <w:p w14:paraId="5DD0DE8F" w14:textId="77777777" w:rsidR="007F4791" w:rsidRPr="00A25F2C" w:rsidRDefault="007F4791" w:rsidP="009A601F">
            <w:pPr>
              <w:pStyle w:val="TableBodyText"/>
              <w:spacing w:before="20" w:after="20" w:line="233" w:lineRule="auto"/>
              <w:jc w:val="right"/>
            </w:pPr>
            <w:r w:rsidRPr="00A25F2C">
              <w:t>7.0</w:t>
            </w:r>
          </w:p>
        </w:tc>
        <w:tc>
          <w:tcPr>
            <w:tcW w:w="609" w:type="pct"/>
          </w:tcPr>
          <w:p w14:paraId="30F6E95E" w14:textId="77777777" w:rsidR="007F4791" w:rsidRPr="00A25F2C" w:rsidRDefault="007F4791" w:rsidP="009A601F">
            <w:pPr>
              <w:pStyle w:val="TableBodyText"/>
              <w:spacing w:before="20" w:after="20" w:line="233" w:lineRule="auto"/>
              <w:jc w:val="right"/>
            </w:pPr>
            <w:r w:rsidRPr="00A25F2C">
              <w:t>7.6</w:t>
            </w:r>
          </w:p>
        </w:tc>
        <w:tc>
          <w:tcPr>
            <w:tcW w:w="472" w:type="pct"/>
          </w:tcPr>
          <w:p w14:paraId="0B6397B0" w14:textId="77777777" w:rsidR="007F4791" w:rsidRPr="00A25F2C" w:rsidRDefault="007F4791" w:rsidP="009A601F">
            <w:pPr>
              <w:pStyle w:val="TableBodyText"/>
              <w:spacing w:before="20" w:after="20" w:line="233" w:lineRule="auto"/>
              <w:jc w:val="right"/>
            </w:pPr>
            <w:r w:rsidRPr="00A25F2C">
              <w:t>7.8</w:t>
            </w:r>
          </w:p>
        </w:tc>
        <w:tc>
          <w:tcPr>
            <w:tcW w:w="471" w:type="pct"/>
          </w:tcPr>
          <w:p w14:paraId="06BEFAEE" w14:textId="77777777" w:rsidR="007F4791" w:rsidRPr="00A25F2C" w:rsidRDefault="007F4791" w:rsidP="009A601F">
            <w:pPr>
              <w:pStyle w:val="TableBodyText"/>
              <w:spacing w:before="20" w:after="20" w:line="233" w:lineRule="auto"/>
              <w:jc w:val="right"/>
            </w:pPr>
            <w:r w:rsidRPr="00A25F2C">
              <w:t>8.0</w:t>
            </w:r>
          </w:p>
        </w:tc>
        <w:tc>
          <w:tcPr>
            <w:tcW w:w="472" w:type="pct"/>
          </w:tcPr>
          <w:p w14:paraId="67AD3495" w14:textId="77777777" w:rsidR="007F4791" w:rsidRPr="00A25F2C" w:rsidRDefault="007F4791" w:rsidP="009A601F">
            <w:pPr>
              <w:pStyle w:val="TableBodyText"/>
              <w:spacing w:before="20" w:after="20" w:line="233" w:lineRule="auto"/>
              <w:jc w:val="right"/>
            </w:pPr>
            <w:r w:rsidRPr="00A25F2C">
              <w:t>8.3</w:t>
            </w:r>
          </w:p>
        </w:tc>
        <w:tc>
          <w:tcPr>
            <w:tcW w:w="470" w:type="pct"/>
          </w:tcPr>
          <w:p w14:paraId="7AC713D6" w14:textId="77777777" w:rsidR="007F4791" w:rsidRPr="00A25F2C" w:rsidRDefault="007F4791" w:rsidP="009A601F">
            <w:pPr>
              <w:pStyle w:val="TableBodyText"/>
              <w:spacing w:before="20" w:after="20" w:line="233" w:lineRule="auto"/>
              <w:jc w:val="right"/>
            </w:pPr>
            <w:r w:rsidRPr="00A25F2C">
              <w:t>8.5</w:t>
            </w:r>
          </w:p>
        </w:tc>
        <w:tc>
          <w:tcPr>
            <w:tcW w:w="447" w:type="pct"/>
          </w:tcPr>
          <w:p w14:paraId="42510588" w14:textId="77777777" w:rsidR="007F4791" w:rsidRPr="00A25F2C" w:rsidRDefault="007F4791" w:rsidP="009A601F">
            <w:pPr>
              <w:pStyle w:val="TableBodyText"/>
              <w:spacing w:before="20" w:after="20" w:line="233" w:lineRule="auto"/>
              <w:jc w:val="right"/>
            </w:pPr>
            <w:r w:rsidRPr="00A25F2C">
              <w:t>8.9</w:t>
            </w:r>
          </w:p>
        </w:tc>
      </w:tr>
      <w:tr w:rsidR="007F4791" w:rsidRPr="00A25F2C" w14:paraId="1E0628F9" w14:textId="77777777" w:rsidTr="00F13D2F">
        <w:tc>
          <w:tcPr>
            <w:tcW w:w="1470" w:type="pct"/>
          </w:tcPr>
          <w:p w14:paraId="03F90A63" w14:textId="77777777" w:rsidR="007F4791" w:rsidRPr="00A25F2C" w:rsidRDefault="007F4791" w:rsidP="009A601F">
            <w:pPr>
              <w:pStyle w:val="TableBodyText"/>
              <w:spacing w:before="20" w:after="20" w:line="233" w:lineRule="auto"/>
            </w:pPr>
            <w:r w:rsidRPr="00A25F2C">
              <w:t>Grants</w:t>
            </w:r>
          </w:p>
        </w:tc>
        <w:tc>
          <w:tcPr>
            <w:tcW w:w="588" w:type="pct"/>
          </w:tcPr>
          <w:p w14:paraId="04103449" w14:textId="77777777" w:rsidR="007F4791" w:rsidRPr="00A25F2C" w:rsidRDefault="007F4791" w:rsidP="009A601F">
            <w:pPr>
              <w:pStyle w:val="TableBodyText"/>
              <w:spacing w:before="20" w:after="20" w:line="233" w:lineRule="auto"/>
              <w:jc w:val="right"/>
            </w:pPr>
            <w:r w:rsidRPr="00A25F2C">
              <w:t>10.2</w:t>
            </w:r>
          </w:p>
        </w:tc>
        <w:tc>
          <w:tcPr>
            <w:tcW w:w="609" w:type="pct"/>
          </w:tcPr>
          <w:p w14:paraId="7CB29075" w14:textId="77777777" w:rsidR="007F4791" w:rsidRPr="00A25F2C" w:rsidRDefault="007F4791" w:rsidP="009A601F">
            <w:pPr>
              <w:pStyle w:val="TableBodyText"/>
              <w:spacing w:before="20" w:after="20" w:line="233" w:lineRule="auto"/>
              <w:jc w:val="right"/>
            </w:pPr>
            <w:r w:rsidRPr="00A25F2C">
              <w:t>8.8</w:t>
            </w:r>
          </w:p>
        </w:tc>
        <w:tc>
          <w:tcPr>
            <w:tcW w:w="472" w:type="pct"/>
          </w:tcPr>
          <w:p w14:paraId="695CE4B1" w14:textId="77777777" w:rsidR="007F4791" w:rsidRPr="00A25F2C" w:rsidRDefault="007F4791" w:rsidP="009A601F">
            <w:pPr>
              <w:pStyle w:val="TableBodyText"/>
              <w:spacing w:before="20" w:after="20" w:line="233" w:lineRule="auto"/>
              <w:jc w:val="right"/>
            </w:pPr>
            <w:r w:rsidRPr="00A25F2C">
              <w:t>9.0</w:t>
            </w:r>
          </w:p>
        </w:tc>
        <w:tc>
          <w:tcPr>
            <w:tcW w:w="471" w:type="pct"/>
          </w:tcPr>
          <w:p w14:paraId="2BBE54CF" w14:textId="77777777" w:rsidR="007F4791" w:rsidRPr="00A25F2C" w:rsidRDefault="007F4791" w:rsidP="009A601F">
            <w:pPr>
              <w:pStyle w:val="TableBodyText"/>
              <w:spacing w:before="20" w:after="20" w:line="233" w:lineRule="auto"/>
              <w:jc w:val="right"/>
            </w:pPr>
            <w:r w:rsidRPr="00A25F2C">
              <w:t>9.2</w:t>
            </w:r>
          </w:p>
        </w:tc>
        <w:tc>
          <w:tcPr>
            <w:tcW w:w="472" w:type="pct"/>
          </w:tcPr>
          <w:p w14:paraId="3FC8625D" w14:textId="77777777" w:rsidR="007F4791" w:rsidRPr="00A25F2C" w:rsidRDefault="007F4791" w:rsidP="009A601F">
            <w:pPr>
              <w:pStyle w:val="TableBodyText"/>
              <w:spacing w:before="20" w:after="20" w:line="233" w:lineRule="auto"/>
              <w:jc w:val="right"/>
            </w:pPr>
            <w:r w:rsidRPr="00A25F2C">
              <w:t>9.5</w:t>
            </w:r>
          </w:p>
        </w:tc>
        <w:tc>
          <w:tcPr>
            <w:tcW w:w="470" w:type="pct"/>
          </w:tcPr>
          <w:p w14:paraId="05726979" w14:textId="77777777" w:rsidR="007F4791" w:rsidRPr="00A25F2C" w:rsidRDefault="007F4791" w:rsidP="009A601F">
            <w:pPr>
              <w:pStyle w:val="TableBodyText"/>
              <w:spacing w:before="20" w:after="20" w:line="233" w:lineRule="auto"/>
              <w:jc w:val="right"/>
            </w:pPr>
            <w:r w:rsidRPr="00A25F2C">
              <w:t>9.7</w:t>
            </w:r>
          </w:p>
        </w:tc>
        <w:tc>
          <w:tcPr>
            <w:tcW w:w="447" w:type="pct"/>
          </w:tcPr>
          <w:p w14:paraId="1144F8B6" w14:textId="77777777" w:rsidR="007F4791" w:rsidRPr="00A25F2C" w:rsidRDefault="007F4791" w:rsidP="009A601F">
            <w:pPr>
              <w:pStyle w:val="TableBodyText"/>
              <w:spacing w:before="20" w:after="20" w:line="233" w:lineRule="auto"/>
              <w:jc w:val="right"/>
            </w:pPr>
            <w:r w:rsidRPr="00A25F2C">
              <w:t>10.0</w:t>
            </w:r>
          </w:p>
        </w:tc>
      </w:tr>
      <w:tr w:rsidR="007F4791" w:rsidRPr="00A25F2C" w14:paraId="6C052060" w14:textId="77777777" w:rsidTr="00F13D2F">
        <w:tc>
          <w:tcPr>
            <w:tcW w:w="1470" w:type="pct"/>
          </w:tcPr>
          <w:p w14:paraId="6D5E9D8A" w14:textId="77777777" w:rsidR="007F4791" w:rsidRPr="00A25F2C" w:rsidRDefault="007F4791" w:rsidP="009A601F">
            <w:pPr>
              <w:pStyle w:val="TableBodyText"/>
              <w:spacing w:before="20" w:after="20" w:line="233" w:lineRule="auto"/>
            </w:pPr>
            <w:r w:rsidRPr="00A25F2C">
              <w:t>Other Expense</w:t>
            </w:r>
          </w:p>
        </w:tc>
        <w:tc>
          <w:tcPr>
            <w:tcW w:w="588" w:type="pct"/>
          </w:tcPr>
          <w:p w14:paraId="61CEA31A" w14:textId="77777777" w:rsidR="007F4791" w:rsidRPr="00A25F2C" w:rsidRDefault="007F4791" w:rsidP="009A601F">
            <w:pPr>
              <w:pStyle w:val="TableBodyText"/>
              <w:spacing w:before="20" w:after="20" w:line="233" w:lineRule="auto"/>
              <w:jc w:val="right"/>
            </w:pPr>
            <w:r w:rsidRPr="00A25F2C">
              <w:t>1.9</w:t>
            </w:r>
          </w:p>
        </w:tc>
        <w:tc>
          <w:tcPr>
            <w:tcW w:w="609" w:type="pct"/>
          </w:tcPr>
          <w:p w14:paraId="4F5412E8" w14:textId="77777777" w:rsidR="007F4791" w:rsidRPr="00A25F2C" w:rsidRDefault="007F4791" w:rsidP="009A601F">
            <w:pPr>
              <w:pStyle w:val="TableBodyText"/>
              <w:spacing w:before="20" w:after="20" w:line="233" w:lineRule="auto"/>
              <w:jc w:val="right"/>
            </w:pPr>
            <w:r w:rsidRPr="00A25F2C">
              <w:t>2.0</w:t>
            </w:r>
          </w:p>
        </w:tc>
        <w:tc>
          <w:tcPr>
            <w:tcW w:w="472" w:type="pct"/>
          </w:tcPr>
          <w:p w14:paraId="67662EC9" w14:textId="77777777" w:rsidR="007F4791" w:rsidRPr="00A25F2C" w:rsidRDefault="007F4791" w:rsidP="009A601F">
            <w:pPr>
              <w:pStyle w:val="TableBodyText"/>
              <w:spacing w:before="20" w:after="20" w:line="233" w:lineRule="auto"/>
              <w:jc w:val="right"/>
            </w:pPr>
            <w:r w:rsidRPr="00A25F2C">
              <w:t>2.0</w:t>
            </w:r>
          </w:p>
        </w:tc>
        <w:tc>
          <w:tcPr>
            <w:tcW w:w="471" w:type="pct"/>
          </w:tcPr>
          <w:p w14:paraId="561DD36C" w14:textId="77777777" w:rsidR="007F4791" w:rsidRPr="00A25F2C" w:rsidRDefault="007F4791" w:rsidP="009A601F">
            <w:pPr>
              <w:pStyle w:val="TableBodyText"/>
              <w:spacing w:before="20" w:after="20" w:line="233" w:lineRule="auto"/>
              <w:jc w:val="right"/>
            </w:pPr>
            <w:r w:rsidRPr="00A25F2C">
              <w:t>2.1</w:t>
            </w:r>
          </w:p>
        </w:tc>
        <w:tc>
          <w:tcPr>
            <w:tcW w:w="472" w:type="pct"/>
          </w:tcPr>
          <w:p w14:paraId="5144C07B" w14:textId="77777777" w:rsidR="007F4791" w:rsidRPr="00A25F2C" w:rsidRDefault="007F4791" w:rsidP="009A601F">
            <w:pPr>
              <w:pStyle w:val="TableBodyText"/>
              <w:spacing w:before="20" w:after="20" w:line="233" w:lineRule="auto"/>
              <w:jc w:val="right"/>
            </w:pPr>
            <w:r w:rsidRPr="00A25F2C">
              <w:t>2.1</w:t>
            </w:r>
          </w:p>
        </w:tc>
        <w:tc>
          <w:tcPr>
            <w:tcW w:w="470" w:type="pct"/>
          </w:tcPr>
          <w:p w14:paraId="55991E40" w14:textId="77777777" w:rsidR="007F4791" w:rsidRPr="00A25F2C" w:rsidRDefault="007F4791" w:rsidP="009A601F">
            <w:pPr>
              <w:pStyle w:val="TableBodyText"/>
              <w:spacing w:before="20" w:after="20" w:line="233" w:lineRule="auto"/>
              <w:jc w:val="right"/>
            </w:pPr>
            <w:r w:rsidRPr="00A25F2C">
              <w:t>2.2</w:t>
            </w:r>
          </w:p>
        </w:tc>
        <w:tc>
          <w:tcPr>
            <w:tcW w:w="447" w:type="pct"/>
          </w:tcPr>
          <w:p w14:paraId="6E2A68D8" w14:textId="77777777" w:rsidR="007F4791" w:rsidRPr="00A25F2C" w:rsidRDefault="007F4791" w:rsidP="009A601F">
            <w:pPr>
              <w:pStyle w:val="TableBodyText"/>
              <w:spacing w:before="20" w:after="20" w:line="233" w:lineRule="auto"/>
              <w:jc w:val="right"/>
            </w:pPr>
            <w:r w:rsidRPr="00A25F2C">
              <w:t>2.2</w:t>
            </w:r>
          </w:p>
        </w:tc>
      </w:tr>
      <w:tr w:rsidR="007F4791" w:rsidRPr="00A25F2C" w14:paraId="28AEF7AB" w14:textId="77777777" w:rsidTr="00F13D2F">
        <w:tc>
          <w:tcPr>
            <w:tcW w:w="1470" w:type="pct"/>
          </w:tcPr>
          <w:p w14:paraId="1BB7F119" w14:textId="77777777" w:rsidR="007F4791" w:rsidRPr="00A25F2C" w:rsidRDefault="007F4791" w:rsidP="009A601F">
            <w:pPr>
              <w:pStyle w:val="TableBodyText"/>
              <w:spacing w:before="20" w:after="20" w:line="233" w:lineRule="auto"/>
            </w:pPr>
            <w:r w:rsidRPr="00A25F2C">
              <w:t>Land Tax</w:t>
            </w:r>
          </w:p>
        </w:tc>
        <w:tc>
          <w:tcPr>
            <w:tcW w:w="588" w:type="pct"/>
          </w:tcPr>
          <w:p w14:paraId="7AA9070C" w14:textId="77777777" w:rsidR="007F4791" w:rsidRPr="00A25F2C" w:rsidRDefault="007F4791" w:rsidP="009A601F">
            <w:pPr>
              <w:pStyle w:val="TableBodyText"/>
              <w:spacing w:before="20" w:after="20" w:line="233" w:lineRule="auto"/>
              <w:jc w:val="right"/>
            </w:pPr>
            <w:r w:rsidRPr="00A25F2C">
              <w:t>27.7</w:t>
            </w:r>
          </w:p>
        </w:tc>
        <w:tc>
          <w:tcPr>
            <w:tcW w:w="609" w:type="pct"/>
          </w:tcPr>
          <w:p w14:paraId="418055B0" w14:textId="77777777" w:rsidR="007F4791" w:rsidRPr="00A25F2C" w:rsidRDefault="007F4791" w:rsidP="009A601F">
            <w:pPr>
              <w:pStyle w:val="TableBodyText"/>
              <w:spacing w:before="20" w:after="20" w:line="233" w:lineRule="auto"/>
              <w:jc w:val="right"/>
            </w:pPr>
            <w:r w:rsidRPr="00A25F2C">
              <w:t>27.7</w:t>
            </w:r>
          </w:p>
        </w:tc>
        <w:tc>
          <w:tcPr>
            <w:tcW w:w="472" w:type="pct"/>
          </w:tcPr>
          <w:p w14:paraId="7364245D" w14:textId="77777777" w:rsidR="007F4791" w:rsidRPr="00A25F2C" w:rsidRDefault="007F4791" w:rsidP="009A601F">
            <w:pPr>
              <w:pStyle w:val="TableBodyText"/>
              <w:spacing w:before="20" w:after="20" w:line="233" w:lineRule="auto"/>
              <w:jc w:val="right"/>
            </w:pPr>
            <w:r w:rsidRPr="00A25F2C">
              <w:t>28.4</w:t>
            </w:r>
          </w:p>
        </w:tc>
        <w:tc>
          <w:tcPr>
            <w:tcW w:w="471" w:type="pct"/>
          </w:tcPr>
          <w:p w14:paraId="63D40569" w14:textId="77777777" w:rsidR="007F4791" w:rsidRPr="00A25F2C" w:rsidRDefault="007F4791" w:rsidP="009A601F">
            <w:pPr>
              <w:pStyle w:val="TableBodyText"/>
              <w:spacing w:before="20" w:after="20" w:line="233" w:lineRule="auto"/>
              <w:jc w:val="right"/>
            </w:pPr>
            <w:r w:rsidRPr="00A25F2C">
              <w:t>29.1</w:t>
            </w:r>
          </w:p>
        </w:tc>
        <w:tc>
          <w:tcPr>
            <w:tcW w:w="472" w:type="pct"/>
          </w:tcPr>
          <w:p w14:paraId="57E07046" w14:textId="77777777" w:rsidR="007F4791" w:rsidRPr="00A25F2C" w:rsidRDefault="007F4791" w:rsidP="009A601F">
            <w:pPr>
              <w:pStyle w:val="TableBodyText"/>
              <w:spacing w:before="20" w:after="20" w:line="233" w:lineRule="auto"/>
              <w:jc w:val="right"/>
            </w:pPr>
            <w:r w:rsidRPr="00A25F2C">
              <w:t>29.9</w:t>
            </w:r>
          </w:p>
        </w:tc>
        <w:tc>
          <w:tcPr>
            <w:tcW w:w="470" w:type="pct"/>
          </w:tcPr>
          <w:p w14:paraId="5840132E" w14:textId="77777777" w:rsidR="007F4791" w:rsidRPr="00A25F2C" w:rsidRDefault="007F4791" w:rsidP="009A601F">
            <w:pPr>
              <w:pStyle w:val="TableBodyText"/>
              <w:spacing w:before="20" w:after="20" w:line="233" w:lineRule="auto"/>
              <w:jc w:val="right"/>
            </w:pPr>
            <w:r w:rsidRPr="00A25F2C">
              <w:t>30.6</w:t>
            </w:r>
          </w:p>
        </w:tc>
        <w:tc>
          <w:tcPr>
            <w:tcW w:w="447" w:type="pct"/>
          </w:tcPr>
          <w:p w14:paraId="2D2CBF2D" w14:textId="77777777" w:rsidR="007F4791" w:rsidRPr="00A25F2C" w:rsidRDefault="007F4791" w:rsidP="009A601F">
            <w:pPr>
              <w:pStyle w:val="TableBodyText"/>
              <w:spacing w:before="20" w:after="20" w:line="233" w:lineRule="auto"/>
              <w:jc w:val="right"/>
            </w:pPr>
            <w:r w:rsidRPr="00A25F2C">
              <w:t>31.4</w:t>
            </w:r>
          </w:p>
        </w:tc>
      </w:tr>
      <w:tr w:rsidR="007F4791" w:rsidRPr="00A25F2C" w14:paraId="3A6BD0A4" w14:textId="77777777" w:rsidTr="00F13D2F">
        <w:tc>
          <w:tcPr>
            <w:tcW w:w="1470" w:type="pct"/>
          </w:tcPr>
          <w:p w14:paraId="5B601830" w14:textId="77777777" w:rsidR="007F4791" w:rsidRPr="00A25F2C" w:rsidRDefault="007F4791" w:rsidP="009A601F">
            <w:pPr>
              <w:pStyle w:val="TableBodyText"/>
              <w:spacing w:before="20" w:after="20" w:line="233" w:lineRule="auto"/>
            </w:pPr>
            <w:r w:rsidRPr="00A25F2C">
              <w:rPr>
                <w:b/>
              </w:rPr>
              <w:t>Direct Operating Expenses (excl. Victorian Desalination Plant (VDP))</w:t>
            </w:r>
          </w:p>
        </w:tc>
        <w:tc>
          <w:tcPr>
            <w:tcW w:w="588" w:type="pct"/>
          </w:tcPr>
          <w:p w14:paraId="108CC4B4" w14:textId="77777777" w:rsidR="007F4791" w:rsidRPr="00A25F2C" w:rsidRDefault="007F4791" w:rsidP="009A601F">
            <w:pPr>
              <w:pStyle w:val="TableBodyText"/>
              <w:spacing w:before="20" w:after="20" w:line="233" w:lineRule="auto"/>
              <w:jc w:val="right"/>
            </w:pPr>
            <w:r w:rsidRPr="00A25F2C">
              <w:rPr>
                <w:b/>
              </w:rPr>
              <w:t>473.3</w:t>
            </w:r>
          </w:p>
        </w:tc>
        <w:tc>
          <w:tcPr>
            <w:tcW w:w="609" w:type="pct"/>
          </w:tcPr>
          <w:p w14:paraId="0362EA03" w14:textId="77777777" w:rsidR="007F4791" w:rsidRPr="00A25F2C" w:rsidRDefault="007F4791" w:rsidP="009A601F">
            <w:pPr>
              <w:pStyle w:val="TableBodyText"/>
              <w:spacing w:before="20" w:after="20" w:line="233" w:lineRule="auto"/>
              <w:jc w:val="right"/>
            </w:pPr>
            <w:r w:rsidRPr="00A25F2C">
              <w:rPr>
                <w:b/>
              </w:rPr>
              <w:t>466.8</w:t>
            </w:r>
          </w:p>
        </w:tc>
        <w:tc>
          <w:tcPr>
            <w:tcW w:w="472" w:type="pct"/>
          </w:tcPr>
          <w:p w14:paraId="04B8268C" w14:textId="77777777" w:rsidR="007F4791" w:rsidRPr="00A25F2C" w:rsidRDefault="007F4791" w:rsidP="009A601F">
            <w:pPr>
              <w:pStyle w:val="TableBodyText"/>
              <w:spacing w:before="20" w:after="20" w:line="233" w:lineRule="auto"/>
              <w:jc w:val="right"/>
            </w:pPr>
            <w:r w:rsidRPr="00A25F2C">
              <w:rPr>
                <w:b/>
              </w:rPr>
              <w:t>544.9</w:t>
            </w:r>
          </w:p>
        </w:tc>
        <w:tc>
          <w:tcPr>
            <w:tcW w:w="471" w:type="pct"/>
          </w:tcPr>
          <w:p w14:paraId="27AB77D7" w14:textId="77777777" w:rsidR="007F4791" w:rsidRPr="00A25F2C" w:rsidRDefault="007F4791" w:rsidP="009A601F">
            <w:pPr>
              <w:pStyle w:val="TableBodyText"/>
              <w:spacing w:before="20" w:after="20" w:line="233" w:lineRule="auto"/>
              <w:jc w:val="right"/>
            </w:pPr>
            <w:r w:rsidRPr="00A25F2C">
              <w:rPr>
                <w:b/>
              </w:rPr>
              <w:t>613.0</w:t>
            </w:r>
          </w:p>
        </w:tc>
        <w:tc>
          <w:tcPr>
            <w:tcW w:w="472" w:type="pct"/>
          </w:tcPr>
          <w:p w14:paraId="782148AC" w14:textId="77777777" w:rsidR="007F4791" w:rsidRPr="00A25F2C" w:rsidRDefault="007F4791" w:rsidP="009A601F">
            <w:pPr>
              <w:pStyle w:val="TableBodyText"/>
              <w:spacing w:before="20" w:after="20" w:line="233" w:lineRule="auto"/>
              <w:jc w:val="right"/>
            </w:pPr>
            <w:r w:rsidRPr="00A25F2C">
              <w:rPr>
                <w:b/>
              </w:rPr>
              <w:t>552.5</w:t>
            </w:r>
          </w:p>
        </w:tc>
        <w:tc>
          <w:tcPr>
            <w:tcW w:w="470" w:type="pct"/>
          </w:tcPr>
          <w:p w14:paraId="2FEDD8F5" w14:textId="77777777" w:rsidR="007F4791" w:rsidRPr="00A25F2C" w:rsidRDefault="007F4791" w:rsidP="009A601F">
            <w:pPr>
              <w:pStyle w:val="TableBodyText"/>
              <w:spacing w:before="20" w:after="20" w:line="233" w:lineRule="auto"/>
              <w:jc w:val="right"/>
            </w:pPr>
            <w:r w:rsidRPr="00A25F2C">
              <w:rPr>
                <w:b/>
              </w:rPr>
              <w:t>554.7</w:t>
            </w:r>
          </w:p>
        </w:tc>
        <w:tc>
          <w:tcPr>
            <w:tcW w:w="447" w:type="pct"/>
          </w:tcPr>
          <w:p w14:paraId="52A90D30" w14:textId="77777777" w:rsidR="007F4791" w:rsidRPr="00A25F2C" w:rsidRDefault="007F4791" w:rsidP="009A601F">
            <w:pPr>
              <w:pStyle w:val="TableBodyText"/>
              <w:spacing w:before="20" w:after="20" w:line="233" w:lineRule="auto"/>
              <w:jc w:val="right"/>
              <w:rPr>
                <w:b/>
              </w:rPr>
            </w:pPr>
            <w:r w:rsidRPr="00A25F2C">
              <w:rPr>
                <w:b/>
              </w:rPr>
              <w:t>570.3</w:t>
            </w:r>
          </w:p>
        </w:tc>
      </w:tr>
      <w:tr w:rsidR="007F4791" w:rsidRPr="00A25F2C" w14:paraId="413F1DC9" w14:textId="77777777" w:rsidTr="00F13D2F">
        <w:tc>
          <w:tcPr>
            <w:tcW w:w="1470" w:type="pct"/>
          </w:tcPr>
          <w:p w14:paraId="552FF420" w14:textId="77777777" w:rsidR="007F4791" w:rsidRPr="00A25F2C" w:rsidRDefault="007F4791" w:rsidP="009A601F">
            <w:pPr>
              <w:pStyle w:val="TableBodyText"/>
              <w:spacing w:before="20" w:after="20" w:line="233" w:lineRule="auto"/>
            </w:pPr>
            <w:r w:rsidRPr="00A25F2C">
              <w:t>VDP Operating Expenses</w:t>
            </w:r>
          </w:p>
        </w:tc>
        <w:tc>
          <w:tcPr>
            <w:tcW w:w="588" w:type="pct"/>
          </w:tcPr>
          <w:p w14:paraId="2BB55395" w14:textId="77777777" w:rsidR="007F4791" w:rsidRPr="00A25F2C" w:rsidRDefault="007F4791" w:rsidP="009A601F">
            <w:pPr>
              <w:pStyle w:val="TableBodyText"/>
              <w:spacing w:before="20" w:after="20" w:line="233" w:lineRule="auto"/>
              <w:jc w:val="right"/>
            </w:pPr>
            <w:r w:rsidRPr="00A25F2C">
              <w:t>148.7</w:t>
            </w:r>
          </w:p>
        </w:tc>
        <w:tc>
          <w:tcPr>
            <w:tcW w:w="609" w:type="pct"/>
          </w:tcPr>
          <w:p w14:paraId="66543A71" w14:textId="77777777" w:rsidR="007F4791" w:rsidRPr="00A25F2C" w:rsidRDefault="007F4791" w:rsidP="009A601F">
            <w:pPr>
              <w:pStyle w:val="TableBodyText"/>
              <w:spacing w:before="20" w:after="20" w:line="233" w:lineRule="auto"/>
              <w:jc w:val="right"/>
            </w:pPr>
            <w:r w:rsidRPr="00A25F2C">
              <w:t>150.8</w:t>
            </w:r>
          </w:p>
        </w:tc>
        <w:tc>
          <w:tcPr>
            <w:tcW w:w="472" w:type="pct"/>
          </w:tcPr>
          <w:p w14:paraId="4852ED8C" w14:textId="77777777" w:rsidR="007F4791" w:rsidRPr="00A25F2C" w:rsidRDefault="007F4791" w:rsidP="009A601F">
            <w:pPr>
              <w:pStyle w:val="TableBodyText"/>
              <w:spacing w:before="20" w:after="20" w:line="233" w:lineRule="auto"/>
              <w:jc w:val="right"/>
            </w:pPr>
            <w:r w:rsidRPr="00A25F2C">
              <w:t>142.9</w:t>
            </w:r>
          </w:p>
        </w:tc>
        <w:tc>
          <w:tcPr>
            <w:tcW w:w="471" w:type="pct"/>
          </w:tcPr>
          <w:p w14:paraId="306FEE4D" w14:textId="77777777" w:rsidR="007F4791" w:rsidRPr="00A25F2C" w:rsidRDefault="007F4791" w:rsidP="009A601F">
            <w:pPr>
              <w:pStyle w:val="TableBodyText"/>
              <w:spacing w:before="20" w:after="20" w:line="233" w:lineRule="auto"/>
              <w:jc w:val="right"/>
            </w:pPr>
            <w:r w:rsidRPr="00A25F2C">
              <w:t>184.8</w:t>
            </w:r>
          </w:p>
        </w:tc>
        <w:tc>
          <w:tcPr>
            <w:tcW w:w="472" w:type="pct"/>
          </w:tcPr>
          <w:p w14:paraId="5115BCAA" w14:textId="77777777" w:rsidR="007F4791" w:rsidRPr="00A25F2C" w:rsidRDefault="007F4791" w:rsidP="009A601F">
            <w:pPr>
              <w:pStyle w:val="TableBodyText"/>
              <w:spacing w:before="20" w:after="20" w:line="233" w:lineRule="auto"/>
              <w:jc w:val="right"/>
            </w:pPr>
            <w:r w:rsidRPr="00A25F2C">
              <w:t>215.3</w:t>
            </w:r>
          </w:p>
        </w:tc>
        <w:tc>
          <w:tcPr>
            <w:tcW w:w="470" w:type="pct"/>
          </w:tcPr>
          <w:p w14:paraId="49F3A48B" w14:textId="77777777" w:rsidR="007F4791" w:rsidRPr="00A25F2C" w:rsidRDefault="007F4791" w:rsidP="009A601F">
            <w:pPr>
              <w:pStyle w:val="TableBodyText"/>
              <w:spacing w:before="20" w:after="20" w:line="233" w:lineRule="auto"/>
              <w:jc w:val="right"/>
            </w:pPr>
            <w:r w:rsidRPr="00A25F2C">
              <w:t>225.1</w:t>
            </w:r>
          </w:p>
        </w:tc>
        <w:tc>
          <w:tcPr>
            <w:tcW w:w="447" w:type="pct"/>
          </w:tcPr>
          <w:p w14:paraId="22FC39B8" w14:textId="77777777" w:rsidR="007F4791" w:rsidRPr="00A25F2C" w:rsidRDefault="007F4791" w:rsidP="009A601F">
            <w:pPr>
              <w:pStyle w:val="TableBodyText"/>
              <w:spacing w:before="20" w:after="20" w:line="233" w:lineRule="auto"/>
              <w:jc w:val="right"/>
            </w:pPr>
            <w:r w:rsidRPr="00A25F2C">
              <w:t>236.2</w:t>
            </w:r>
          </w:p>
        </w:tc>
      </w:tr>
      <w:tr w:rsidR="007F4791" w:rsidRPr="00A25F2C" w14:paraId="6A112667" w14:textId="77777777" w:rsidTr="00F13D2F">
        <w:tc>
          <w:tcPr>
            <w:tcW w:w="1470" w:type="pct"/>
          </w:tcPr>
          <w:p w14:paraId="2D668EF9" w14:textId="77777777" w:rsidR="007F4791" w:rsidRPr="00A25F2C" w:rsidRDefault="007F4791" w:rsidP="009A601F">
            <w:pPr>
              <w:pStyle w:val="TableBodyText"/>
              <w:spacing w:before="20" w:after="20" w:line="233" w:lineRule="auto"/>
            </w:pPr>
            <w:r w:rsidRPr="00A25F2C">
              <w:rPr>
                <w:b/>
              </w:rPr>
              <w:t>Total Direct Operating Expenses</w:t>
            </w:r>
          </w:p>
        </w:tc>
        <w:tc>
          <w:tcPr>
            <w:tcW w:w="588" w:type="pct"/>
          </w:tcPr>
          <w:p w14:paraId="5287AFF6" w14:textId="77777777" w:rsidR="007F4791" w:rsidRPr="00A25F2C" w:rsidRDefault="007F4791" w:rsidP="009A601F">
            <w:pPr>
              <w:pStyle w:val="TableBodyText"/>
              <w:spacing w:before="20" w:after="20" w:line="233" w:lineRule="auto"/>
              <w:jc w:val="right"/>
            </w:pPr>
            <w:r w:rsidRPr="00A25F2C">
              <w:rPr>
                <w:b/>
              </w:rPr>
              <w:t>622.0</w:t>
            </w:r>
          </w:p>
        </w:tc>
        <w:tc>
          <w:tcPr>
            <w:tcW w:w="609" w:type="pct"/>
          </w:tcPr>
          <w:p w14:paraId="3A76517A" w14:textId="77777777" w:rsidR="007F4791" w:rsidRPr="00A25F2C" w:rsidRDefault="007F4791" w:rsidP="009A601F">
            <w:pPr>
              <w:pStyle w:val="TableBodyText"/>
              <w:spacing w:before="20" w:after="20" w:line="233" w:lineRule="auto"/>
              <w:jc w:val="right"/>
            </w:pPr>
            <w:r w:rsidRPr="00A25F2C">
              <w:rPr>
                <w:b/>
              </w:rPr>
              <w:t>617.6</w:t>
            </w:r>
          </w:p>
        </w:tc>
        <w:tc>
          <w:tcPr>
            <w:tcW w:w="472" w:type="pct"/>
          </w:tcPr>
          <w:p w14:paraId="68207861" w14:textId="77777777" w:rsidR="007F4791" w:rsidRPr="00A25F2C" w:rsidRDefault="007F4791" w:rsidP="009A601F">
            <w:pPr>
              <w:pStyle w:val="TableBodyText"/>
              <w:spacing w:before="20" w:after="20" w:line="233" w:lineRule="auto"/>
              <w:jc w:val="right"/>
            </w:pPr>
            <w:r w:rsidRPr="00A25F2C">
              <w:rPr>
                <w:b/>
              </w:rPr>
              <w:t>687.8</w:t>
            </w:r>
          </w:p>
        </w:tc>
        <w:tc>
          <w:tcPr>
            <w:tcW w:w="471" w:type="pct"/>
          </w:tcPr>
          <w:p w14:paraId="40B710E2" w14:textId="77777777" w:rsidR="007F4791" w:rsidRPr="00A25F2C" w:rsidRDefault="007F4791" w:rsidP="009A601F">
            <w:pPr>
              <w:pStyle w:val="TableBodyText"/>
              <w:spacing w:before="20" w:after="20" w:line="233" w:lineRule="auto"/>
              <w:jc w:val="right"/>
            </w:pPr>
            <w:r w:rsidRPr="00A25F2C">
              <w:rPr>
                <w:b/>
              </w:rPr>
              <w:t>797.8</w:t>
            </w:r>
          </w:p>
        </w:tc>
        <w:tc>
          <w:tcPr>
            <w:tcW w:w="472" w:type="pct"/>
          </w:tcPr>
          <w:p w14:paraId="4A0F7A4E" w14:textId="77777777" w:rsidR="007F4791" w:rsidRPr="00A25F2C" w:rsidRDefault="007F4791" w:rsidP="009A601F">
            <w:pPr>
              <w:pStyle w:val="TableBodyText"/>
              <w:spacing w:before="20" w:after="20" w:line="233" w:lineRule="auto"/>
              <w:jc w:val="right"/>
            </w:pPr>
            <w:r w:rsidRPr="00A25F2C">
              <w:rPr>
                <w:b/>
              </w:rPr>
              <w:t>767.8</w:t>
            </w:r>
          </w:p>
        </w:tc>
        <w:tc>
          <w:tcPr>
            <w:tcW w:w="470" w:type="pct"/>
          </w:tcPr>
          <w:p w14:paraId="4ED3D1C2" w14:textId="77777777" w:rsidR="007F4791" w:rsidRPr="00A25F2C" w:rsidRDefault="007F4791" w:rsidP="009A601F">
            <w:pPr>
              <w:pStyle w:val="TableBodyText"/>
              <w:spacing w:before="20" w:after="20" w:line="233" w:lineRule="auto"/>
              <w:jc w:val="right"/>
            </w:pPr>
            <w:r w:rsidRPr="00A25F2C">
              <w:rPr>
                <w:b/>
              </w:rPr>
              <w:t>779.8</w:t>
            </w:r>
          </w:p>
        </w:tc>
        <w:tc>
          <w:tcPr>
            <w:tcW w:w="447" w:type="pct"/>
          </w:tcPr>
          <w:p w14:paraId="2F22EDFF" w14:textId="77777777" w:rsidR="007F4791" w:rsidRPr="00A25F2C" w:rsidRDefault="007F4791" w:rsidP="009A601F">
            <w:pPr>
              <w:pStyle w:val="TableBodyText"/>
              <w:spacing w:before="20" w:after="20" w:line="233" w:lineRule="auto"/>
              <w:jc w:val="right"/>
              <w:rPr>
                <w:b/>
              </w:rPr>
            </w:pPr>
            <w:r w:rsidRPr="00A25F2C">
              <w:rPr>
                <w:b/>
              </w:rPr>
              <w:t>806.5</w:t>
            </w:r>
          </w:p>
        </w:tc>
      </w:tr>
      <w:tr w:rsidR="007F4791" w:rsidRPr="00A25F2C" w14:paraId="47AEE8CF" w14:textId="77777777" w:rsidTr="00F13D2F">
        <w:tc>
          <w:tcPr>
            <w:tcW w:w="1470" w:type="pct"/>
          </w:tcPr>
          <w:p w14:paraId="2EFB244C" w14:textId="77777777" w:rsidR="007F4791" w:rsidRPr="00A25F2C" w:rsidRDefault="007F4791" w:rsidP="009A601F">
            <w:pPr>
              <w:pStyle w:val="TableBodyText"/>
              <w:spacing w:before="20" w:after="20" w:line="233" w:lineRule="auto"/>
            </w:pPr>
            <w:r w:rsidRPr="00A25F2C">
              <w:t>Depreciation</w:t>
            </w:r>
          </w:p>
        </w:tc>
        <w:tc>
          <w:tcPr>
            <w:tcW w:w="588" w:type="pct"/>
          </w:tcPr>
          <w:p w14:paraId="73AC3A25" w14:textId="77777777" w:rsidR="007F4791" w:rsidRPr="00A25F2C" w:rsidRDefault="007F4791" w:rsidP="009A601F">
            <w:pPr>
              <w:pStyle w:val="TableBodyText"/>
              <w:spacing w:before="20" w:after="20" w:line="233" w:lineRule="auto"/>
              <w:jc w:val="right"/>
            </w:pPr>
            <w:r w:rsidRPr="00A25F2C">
              <w:t>378.4</w:t>
            </w:r>
          </w:p>
        </w:tc>
        <w:tc>
          <w:tcPr>
            <w:tcW w:w="609" w:type="pct"/>
          </w:tcPr>
          <w:p w14:paraId="313F82AC" w14:textId="77777777" w:rsidR="007F4791" w:rsidRPr="00A25F2C" w:rsidRDefault="007F4791" w:rsidP="009A601F">
            <w:pPr>
              <w:pStyle w:val="TableBodyText"/>
              <w:spacing w:before="20" w:after="20" w:line="233" w:lineRule="auto"/>
              <w:jc w:val="right"/>
            </w:pPr>
            <w:r w:rsidRPr="00A25F2C">
              <w:t>374.7</w:t>
            </w:r>
          </w:p>
        </w:tc>
        <w:tc>
          <w:tcPr>
            <w:tcW w:w="472" w:type="pct"/>
          </w:tcPr>
          <w:p w14:paraId="6C84C33E" w14:textId="77777777" w:rsidR="007F4791" w:rsidRPr="00A25F2C" w:rsidRDefault="007F4791" w:rsidP="009A601F">
            <w:pPr>
              <w:pStyle w:val="TableBodyText"/>
              <w:spacing w:before="20" w:after="20" w:line="233" w:lineRule="auto"/>
              <w:jc w:val="right"/>
            </w:pPr>
            <w:r w:rsidRPr="00A25F2C">
              <w:t>385.0</w:t>
            </w:r>
          </w:p>
        </w:tc>
        <w:tc>
          <w:tcPr>
            <w:tcW w:w="471" w:type="pct"/>
          </w:tcPr>
          <w:p w14:paraId="3C431BA8" w14:textId="77777777" w:rsidR="007F4791" w:rsidRPr="00A25F2C" w:rsidRDefault="007F4791" w:rsidP="009A601F">
            <w:pPr>
              <w:pStyle w:val="TableBodyText"/>
              <w:spacing w:before="20" w:after="20" w:line="233" w:lineRule="auto"/>
              <w:jc w:val="right"/>
            </w:pPr>
            <w:r w:rsidRPr="00A25F2C">
              <w:t>424.6</w:t>
            </w:r>
          </w:p>
        </w:tc>
        <w:tc>
          <w:tcPr>
            <w:tcW w:w="472" w:type="pct"/>
          </w:tcPr>
          <w:p w14:paraId="7588D8DD" w14:textId="77777777" w:rsidR="007F4791" w:rsidRPr="00A25F2C" w:rsidRDefault="007F4791" w:rsidP="009A601F">
            <w:pPr>
              <w:pStyle w:val="TableBodyText"/>
              <w:spacing w:before="20" w:after="20" w:line="233" w:lineRule="auto"/>
              <w:jc w:val="right"/>
            </w:pPr>
            <w:r w:rsidRPr="00A25F2C">
              <w:t>446.5</w:t>
            </w:r>
          </w:p>
        </w:tc>
        <w:tc>
          <w:tcPr>
            <w:tcW w:w="470" w:type="pct"/>
          </w:tcPr>
          <w:p w14:paraId="1DF49883" w14:textId="77777777" w:rsidR="007F4791" w:rsidRPr="00A25F2C" w:rsidRDefault="007F4791" w:rsidP="009A601F">
            <w:pPr>
              <w:pStyle w:val="TableBodyText"/>
              <w:spacing w:before="20" w:after="20" w:line="233" w:lineRule="auto"/>
              <w:jc w:val="right"/>
            </w:pPr>
            <w:r w:rsidRPr="00A25F2C">
              <w:t>467.0</w:t>
            </w:r>
          </w:p>
        </w:tc>
        <w:tc>
          <w:tcPr>
            <w:tcW w:w="447" w:type="pct"/>
          </w:tcPr>
          <w:p w14:paraId="4B8BA7BD" w14:textId="77777777" w:rsidR="007F4791" w:rsidRPr="00A25F2C" w:rsidRDefault="007F4791" w:rsidP="009A601F">
            <w:pPr>
              <w:pStyle w:val="TableBodyText"/>
              <w:spacing w:before="20" w:after="20" w:line="233" w:lineRule="auto"/>
              <w:jc w:val="right"/>
            </w:pPr>
            <w:r w:rsidRPr="00A25F2C">
              <w:t>501.7</w:t>
            </w:r>
          </w:p>
        </w:tc>
      </w:tr>
      <w:tr w:rsidR="007F4791" w:rsidRPr="00A25F2C" w14:paraId="67DAFE0D" w14:textId="77777777" w:rsidTr="00F13D2F">
        <w:tc>
          <w:tcPr>
            <w:tcW w:w="1470" w:type="pct"/>
          </w:tcPr>
          <w:p w14:paraId="1C261D4D" w14:textId="77777777" w:rsidR="007F4791" w:rsidRPr="00A25F2C" w:rsidRDefault="007F4791" w:rsidP="009A601F">
            <w:pPr>
              <w:pStyle w:val="TableBodyText"/>
              <w:spacing w:before="20" w:after="20" w:line="233" w:lineRule="auto"/>
            </w:pPr>
            <w:r w:rsidRPr="00A25F2C">
              <w:t>Depreciation – VDP Service Concession Asset</w:t>
            </w:r>
          </w:p>
        </w:tc>
        <w:tc>
          <w:tcPr>
            <w:tcW w:w="588" w:type="pct"/>
          </w:tcPr>
          <w:p w14:paraId="7D3ECD1D" w14:textId="77777777" w:rsidR="007F4791" w:rsidRPr="00A25F2C" w:rsidRDefault="007F4791" w:rsidP="009A601F">
            <w:pPr>
              <w:pStyle w:val="TableBodyText"/>
              <w:spacing w:before="20" w:after="20" w:line="233" w:lineRule="auto"/>
              <w:jc w:val="right"/>
            </w:pPr>
            <w:r w:rsidRPr="00A25F2C">
              <w:t>78.3</w:t>
            </w:r>
          </w:p>
        </w:tc>
        <w:tc>
          <w:tcPr>
            <w:tcW w:w="609" w:type="pct"/>
          </w:tcPr>
          <w:p w14:paraId="6D4FCFF0" w14:textId="77777777" w:rsidR="007F4791" w:rsidRPr="00A25F2C" w:rsidRDefault="007F4791" w:rsidP="009A601F">
            <w:pPr>
              <w:pStyle w:val="TableBodyText"/>
              <w:spacing w:before="20" w:after="20" w:line="233" w:lineRule="auto"/>
              <w:jc w:val="right"/>
            </w:pPr>
            <w:r w:rsidRPr="00A25F2C">
              <w:t>78.3</w:t>
            </w:r>
          </w:p>
        </w:tc>
        <w:tc>
          <w:tcPr>
            <w:tcW w:w="472" w:type="pct"/>
          </w:tcPr>
          <w:p w14:paraId="29E91483" w14:textId="77777777" w:rsidR="007F4791" w:rsidRPr="00A25F2C" w:rsidRDefault="007F4791" w:rsidP="009A601F">
            <w:pPr>
              <w:pStyle w:val="TableBodyText"/>
              <w:spacing w:before="20" w:after="20" w:line="233" w:lineRule="auto"/>
              <w:jc w:val="right"/>
            </w:pPr>
            <w:r w:rsidRPr="00A25F2C">
              <w:t>78.5</w:t>
            </w:r>
          </w:p>
        </w:tc>
        <w:tc>
          <w:tcPr>
            <w:tcW w:w="471" w:type="pct"/>
          </w:tcPr>
          <w:p w14:paraId="6DC4B5D6" w14:textId="77777777" w:rsidR="007F4791" w:rsidRPr="00A25F2C" w:rsidRDefault="007F4791" w:rsidP="009A601F">
            <w:pPr>
              <w:pStyle w:val="TableBodyText"/>
              <w:spacing w:before="20" w:after="20" w:line="233" w:lineRule="auto"/>
              <w:jc w:val="right"/>
            </w:pPr>
            <w:r w:rsidRPr="00A25F2C">
              <w:t>78.3</w:t>
            </w:r>
          </w:p>
        </w:tc>
        <w:tc>
          <w:tcPr>
            <w:tcW w:w="472" w:type="pct"/>
          </w:tcPr>
          <w:p w14:paraId="2E80C130" w14:textId="77777777" w:rsidR="007F4791" w:rsidRPr="00A25F2C" w:rsidRDefault="007F4791" w:rsidP="009A601F">
            <w:pPr>
              <w:pStyle w:val="TableBodyText"/>
              <w:spacing w:before="20" w:after="20" w:line="233" w:lineRule="auto"/>
              <w:jc w:val="right"/>
            </w:pPr>
            <w:r w:rsidRPr="00A25F2C">
              <w:t>78.3</w:t>
            </w:r>
          </w:p>
        </w:tc>
        <w:tc>
          <w:tcPr>
            <w:tcW w:w="470" w:type="pct"/>
          </w:tcPr>
          <w:p w14:paraId="1C801E63" w14:textId="77777777" w:rsidR="007F4791" w:rsidRPr="00A25F2C" w:rsidRDefault="007F4791" w:rsidP="009A601F">
            <w:pPr>
              <w:pStyle w:val="TableBodyText"/>
              <w:spacing w:before="20" w:after="20" w:line="233" w:lineRule="auto"/>
              <w:jc w:val="right"/>
            </w:pPr>
            <w:r w:rsidRPr="00A25F2C">
              <w:t>78.3</w:t>
            </w:r>
          </w:p>
        </w:tc>
        <w:tc>
          <w:tcPr>
            <w:tcW w:w="447" w:type="pct"/>
          </w:tcPr>
          <w:p w14:paraId="7A1A8E88" w14:textId="77777777" w:rsidR="007F4791" w:rsidRPr="00A25F2C" w:rsidRDefault="007F4791" w:rsidP="009A601F">
            <w:pPr>
              <w:pStyle w:val="TableBodyText"/>
              <w:spacing w:before="20" w:after="20" w:line="233" w:lineRule="auto"/>
              <w:jc w:val="right"/>
            </w:pPr>
            <w:r w:rsidRPr="00A25F2C">
              <w:t>78.5</w:t>
            </w:r>
          </w:p>
        </w:tc>
      </w:tr>
      <w:tr w:rsidR="007F4791" w:rsidRPr="00A25F2C" w14:paraId="1FF572AF" w14:textId="77777777" w:rsidTr="00F13D2F">
        <w:tc>
          <w:tcPr>
            <w:tcW w:w="1470" w:type="pct"/>
          </w:tcPr>
          <w:p w14:paraId="5751224C" w14:textId="77777777" w:rsidR="007F4791" w:rsidRPr="00A25F2C" w:rsidRDefault="007F4791" w:rsidP="009A601F">
            <w:pPr>
              <w:pStyle w:val="TableBodyText"/>
              <w:spacing w:before="20" w:after="20" w:line="233" w:lineRule="auto"/>
            </w:pPr>
            <w:r w:rsidRPr="00A25F2C">
              <w:t>Work in Progress/Asset Write-off</w:t>
            </w:r>
          </w:p>
        </w:tc>
        <w:tc>
          <w:tcPr>
            <w:tcW w:w="588" w:type="pct"/>
          </w:tcPr>
          <w:p w14:paraId="5E9D94D3" w14:textId="77777777" w:rsidR="007F4791" w:rsidRPr="00A25F2C" w:rsidRDefault="007F4791" w:rsidP="009A601F">
            <w:pPr>
              <w:pStyle w:val="TableBodyText"/>
              <w:spacing w:before="20" w:after="20" w:line="233" w:lineRule="auto"/>
              <w:jc w:val="right"/>
            </w:pPr>
            <w:r w:rsidRPr="00A25F2C">
              <w:t>48.2</w:t>
            </w:r>
          </w:p>
        </w:tc>
        <w:tc>
          <w:tcPr>
            <w:tcW w:w="609" w:type="pct"/>
          </w:tcPr>
          <w:p w14:paraId="5E634CF9" w14:textId="77777777" w:rsidR="007F4791" w:rsidRPr="00A25F2C" w:rsidRDefault="007F4791" w:rsidP="009A601F">
            <w:pPr>
              <w:pStyle w:val="TableBodyText"/>
              <w:spacing w:before="20" w:after="20" w:line="233" w:lineRule="auto"/>
              <w:jc w:val="right"/>
            </w:pPr>
            <w:r w:rsidRPr="00A25F2C">
              <w:t>58.8</w:t>
            </w:r>
          </w:p>
        </w:tc>
        <w:tc>
          <w:tcPr>
            <w:tcW w:w="472" w:type="pct"/>
          </w:tcPr>
          <w:p w14:paraId="228CE2FF" w14:textId="77777777" w:rsidR="007F4791" w:rsidRPr="00A25F2C" w:rsidRDefault="007F4791" w:rsidP="009A601F">
            <w:pPr>
              <w:pStyle w:val="TableBodyText"/>
              <w:spacing w:before="20" w:after="20" w:line="233" w:lineRule="auto"/>
              <w:jc w:val="right"/>
            </w:pPr>
            <w:r w:rsidRPr="00A25F2C">
              <w:t>58.9</w:t>
            </w:r>
          </w:p>
        </w:tc>
        <w:tc>
          <w:tcPr>
            <w:tcW w:w="471" w:type="pct"/>
          </w:tcPr>
          <w:p w14:paraId="11ED11C1" w14:textId="77777777" w:rsidR="007F4791" w:rsidRPr="00A25F2C" w:rsidRDefault="007F4791" w:rsidP="009A601F">
            <w:pPr>
              <w:pStyle w:val="TableBodyText"/>
              <w:spacing w:before="20" w:after="20" w:line="233" w:lineRule="auto"/>
              <w:jc w:val="right"/>
            </w:pPr>
            <w:r w:rsidRPr="00A25F2C">
              <w:t>59.0</w:t>
            </w:r>
          </w:p>
        </w:tc>
        <w:tc>
          <w:tcPr>
            <w:tcW w:w="472" w:type="pct"/>
          </w:tcPr>
          <w:p w14:paraId="4ECEC6AB" w14:textId="77777777" w:rsidR="007F4791" w:rsidRPr="00A25F2C" w:rsidRDefault="007F4791" w:rsidP="009A601F">
            <w:pPr>
              <w:pStyle w:val="TableBodyText"/>
              <w:spacing w:before="20" w:after="20" w:line="233" w:lineRule="auto"/>
              <w:jc w:val="right"/>
            </w:pPr>
            <w:r w:rsidRPr="00A25F2C">
              <w:t>59.0</w:t>
            </w:r>
          </w:p>
        </w:tc>
        <w:tc>
          <w:tcPr>
            <w:tcW w:w="470" w:type="pct"/>
          </w:tcPr>
          <w:p w14:paraId="6DA878BE" w14:textId="77777777" w:rsidR="007F4791" w:rsidRPr="00A25F2C" w:rsidRDefault="007F4791" w:rsidP="009A601F">
            <w:pPr>
              <w:pStyle w:val="TableBodyText"/>
              <w:spacing w:before="20" w:after="20" w:line="233" w:lineRule="auto"/>
              <w:jc w:val="right"/>
            </w:pPr>
            <w:r w:rsidRPr="00A25F2C">
              <w:t>59.0</w:t>
            </w:r>
          </w:p>
        </w:tc>
        <w:tc>
          <w:tcPr>
            <w:tcW w:w="447" w:type="pct"/>
          </w:tcPr>
          <w:p w14:paraId="732CFD11" w14:textId="77777777" w:rsidR="007F4791" w:rsidRPr="00A25F2C" w:rsidRDefault="007F4791" w:rsidP="009A601F">
            <w:pPr>
              <w:pStyle w:val="TableBodyText"/>
              <w:spacing w:before="20" w:after="20" w:line="233" w:lineRule="auto"/>
              <w:jc w:val="right"/>
            </w:pPr>
            <w:r w:rsidRPr="00A25F2C">
              <w:t>59.0</w:t>
            </w:r>
          </w:p>
        </w:tc>
      </w:tr>
      <w:tr w:rsidR="007F4791" w:rsidRPr="00A25F2C" w14:paraId="6DC3A7EA" w14:textId="77777777" w:rsidTr="00F13D2F">
        <w:tc>
          <w:tcPr>
            <w:tcW w:w="1470" w:type="pct"/>
          </w:tcPr>
          <w:p w14:paraId="263D60A5" w14:textId="77777777" w:rsidR="007F4791" w:rsidRPr="00A25F2C" w:rsidRDefault="007F4791" w:rsidP="009A601F">
            <w:pPr>
              <w:pStyle w:val="TableBodyText"/>
              <w:spacing w:before="20" w:after="20" w:line="233" w:lineRule="auto"/>
            </w:pPr>
            <w:r w:rsidRPr="00A25F2C">
              <w:rPr>
                <w:b/>
              </w:rPr>
              <w:t>Total Indirect Operating Expenses</w:t>
            </w:r>
          </w:p>
        </w:tc>
        <w:tc>
          <w:tcPr>
            <w:tcW w:w="588" w:type="pct"/>
          </w:tcPr>
          <w:p w14:paraId="1BB14ED8" w14:textId="77777777" w:rsidR="007F4791" w:rsidRPr="00A25F2C" w:rsidRDefault="007F4791" w:rsidP="009A601F">
            <w:pPr>
              <w:pStyle w:val="TableBodyText"/>
              <w:spacing w:before="20" w:after="20" w:line="233" w:lineRule="auto"/>
              <w:jc w:val="right"/>
            </w:pPr>
            <w:r w:rsidRPr="00A25F2C">
              <w:rPr>
                <w:b/>
              </w:rPr>
              <w:t>504.9</w:t>
            </w:r>
          </w:p>
        </w:tc>
        <w:tc>
          <w:tcPr>
            <w:tcW w:w="609" w:type="pct"/>
          </w:tcPr>
          <w:p w14:paraId="7C2A7115" w14:textId="77777777" w:rsidR="007F4791" w:rsidRPr="00A25F2C" w:rsidRDefault="007F4791" w:rsidP="009A601F">
            <w:pPr>
              <w:pStyle w:val="TableBodyText"/>
              <w:spacing w:before="20" w:after="20" w:line="233" w:lineRule="auto"/>
              <w:jc w:val="right"/>
            </w:pPr>
            <w:r w:rsidRPr="00A25F2C">
              <w:rPr>
                <w:b/>
              </w:rPr>
              <w:t>511.8</w:t>
            </w:r>
          </w:p>
        </w:tc>
        <w:tc>
          <w:tcPr>
            <w:tcW w:w="472" w:type="pct"/>
          </w:tcPr>
          <w:p w14:paraId="034130D0" w14:textId="77777777" w:rsidR="007F4791" w:rsidRPr="00A25F2C" w:rsidRDefault="007F4791" w:rsidP="009A601F">
            <w:pPr>
              <w:pStyle w:val="TableBodyText"/>
              <w:spacing w:before="20" w:after="20" w:line="233" w:lineRule="auto"/>
              <w:jc w:val="right"/>
            </w:pPr>
            <w:r w:rsidRPr="00A25F2C">
              <w:rPr>
                <w:b/>
              </w:rPr>
              <w:t>522.4</w:t>
            </w:r>
          </w:p>
        </w:tc>
        <w:tc>
          <w:tcPr>
            <w:tcW w:w="471" w:type="pct"/>
          </w:tcPr>
          <w:p w14:paraId="76FA4A8A" w14:textId="77777777" w:rsidR="007F4791" w:rsidRPr="00A25F2C" w:rsidRDefault="007F4791" w:rsidP="009A601F">
            <w:pPr>
              <w:pStyle w:val="TableBodyText"/>
              <w:spacing w:before="20" w:after="20" w:line="233" w:lineRule="auto"/>
              <w:jc w:val="right"/>
            </w:pPr>
            <w:r w:rsidRPr="00A25F2C">
              <w:rPr>
                <w:b/>
              </w:rPr>
              <w:t>561.9</w:t>
            </w:r>
          </w:p>
        </w:tc>
        <w:tc>
          <w:tcPr>
            <w:tcW w:w="472" w:type="pct"/>
          </w:tcPr>
          <w:p w14:paraId="7B0A8C10" w14:textId="77777777" w:rsidR="007F4791" w:rsidRPr="00A25F2C" w:rsidRDefault="007F4791" w:rsidP="009A601F">
            <w:pPr>
              <w:pStyle w:val="TableBodyText"/>
              <w:spacing w:before="20" w:after="20" w:line="233" w:lineRule="auto"/>
              <w:jc w:val="right"/>
            </w:pPr>
            <w:r w:rsidRPr="00A25F2C">
              <w:rPr>
                <w:b/>
              </w:rPr>
              <w:t>583.8</w:t>
            </w:r>
          </w:p>
        </w:tc>
        <w:tc>
          <w:tcPr>
            <w:tcW w:w="470" w:type="pct"/>
          </w:tcPr>
          <w:p w14:paraId="5EAC435D" w14:textId="77777777" w:rsidR="007F4791" w:rsidRPr="00A25F2C" w:rsidRDefault="007F4791" w:rsidP="009A601F">
            <w:pPr>
              <w:pStyle w:val="TableBodyText"/>
              <w:spacing w:before="20" w:after="20" w:line="233" w:lineRule="auto"/>
              <w:jc w:val="right"/>
            </w:pPr>
            <w:r w:rsidRPr="00A25F2C">
              <w:rPr>
                <w:b/>
              </w:rPr>
              <w:t>604.3</w:t>
            </w:r>
          </w:p>
        </w:tc>
        <w:tc>
          <w:tcPr>
            <w:tcW w:w="447" w:type="pct"/>
          </w:tcPr>
          <w:p w14:paraId="11A122E0" w14:textId="77777777" w:rsidR="007F4791" w:rsidRPr="00A25F2C" w:rsidRDefault="007F4791" w:rsidP="009A601F">
            <w:pPr>
              <w:pStyle w:val="TableBodyText"/>
              <w:spacing w:before="20" w:after="20" w:line="233" w:lineRule="auto"/>
              <w:jc w:val="right"/>
              <w:rPr>
                <w:b/>
              </w:rPr>
            </w:pPr>
            <w:r w:rsidRPr="00A25F2C">
              <w:rPr>
                <w:b/>
              </w:rPr>
              <w:t>639.2</w:t>
            </w:r>
          </w:p>
        </w:tc>
      </w:tr>
      <w:tr w:rsidR="007F4791" w:rsidRPr="00A25F2C" w14:paraId="2BC5A792" w14:textId="77777777" w:rsidTr="00F13D2F">
        <w:tc>
          <w:tcPr>
            <w:tcW w:w="1470" w:type="pct"/>
          </w:tcPr>
          <w:p w14:paraId="060DB339" w14:textId="77777777" w:rsidR="007F4791" w:rsidRPr="00A25F2C" w:rsidRDefault="007F4791" w:rsidP="009A601F">
            <w:pPr>
              <w:pStyle w:val="TableBodyText"/>
              <w:spacing w:before="20" w:after="20" w:line="233" w:lineRule="auto"/>
            </w:pPr>
            <w:r w:rsidRPr="00A25F2C">
              <w:rPr>
                <w:b/>
              </w:rPr>
              <w:t>Total Operating Expenses</w:t>
            </w:r>
          </w:p>
        </w:tc>
        <w:tc>
          <w:tcPr>
            <w:tcW w:w="588" w:type="pct"/>
          </w:tcPr>
          <w:p w14:paraId="56A144E2" w14:textId="77777777" w:rsidR="007F4791" w:rsidRPr="00A25F2C" w:rsidRDefault="007F4791" w:rsidP="009A601F">
            <w:pPr>
              <w:pStyle w:val="TableBodyText"/>
              <w:spacing w:before="20" w:after="20" w:line="233" w:lineRule="auto"/>
              <w:jc w:val="right"/>
            </w:pPr>
            <w:r w:rsidRPr="00A25F2C">
              <w:rPr>
                <w:b/>
              </w:rPr>
              <w:t>1,126.9</w:t>
            </w:r>
          </w:p>
        </w:tc>
        <w:tc>
          <w:tcPr>
            <w:tcW w:w="609" w:type="pct"/>
          </w:tcPr>
          <w:p w14:paraId="03DC6E44" w14:textId="77777777" w:rsidR="007F4791" w:rsidRPr="00A25F2C" w:rsidRDefault="007F4791" w:rsidP="009A601F">
            <w:pPr>
              <w:pStyle w:val="TableBodyText"/>
              <w:spacing w:before="20" w:after="20" w:line="233" w:lineRule="auto"/>
              <w:jc w:val="right"/>
            </w:pPr>
            <w:r w:rsidRPr="00A25F2C">
              <w:rPr>
                <w:b/>
              </w:rPr>
              <w:t>1,129.4</w:t>
            </w:r>
          </w:p>
        </w:tc>
        <w:tc>
          <w:tcPr>
            <w:tcW w:w="472" w:type="pct"/>
          </w:tcPr>
          <w:p w14:paraId="3A7EEA37" w14:textId="77777777" w:rsidR="007F4791" w:rsidRPr="00A25F2C" w:rsidRDefault="007F4791" w:rsidP="009A601F">
            <w:pPr>
              <w:pStyle w:val="TableBodyText"/>
              <w:spacing w:before="20" w:after="20" w:line="233" w:lineRule="auto"/>
              <w:jc w:val="right"/>
            </w:pPr>
            <w:r w:rsidRPr="00A25F2C">
              <w:rPr>
                <w:b/>
              </w:rPr>
              <w:t>1,210.2</w:t>
            </w:r>
          </w:p>
        </w:tc>
        <w:tc>
          <w:tcPr>
            <w:tcW w:w="471" w:type="pct"/>
          </w:tcPr>
          <w:p w14:paraId="31EC0CB5" w14:textId="77777777" w:rsidR="007F4791" w:rsidRPr="00A25F2C" w:rsidRDefault="007F4791" w:rsidP="009A601F">
            <w:pPr>
              <w:pStyle w:val="TableBodyText"/>
              <w:spacing w:before="20" w:after="20" w:line="233" w:lineRule="auto"/>
              <w:jc w:val="right"/>
            </w:pPr>
            <w:r w:rsidRPr="00A25F2C">
              <w:rPr>
                <w:b/>
              </w:rPr>
              <w:t>1,359.7</w:t>
            </w:r>
          </w:p>
        </w:tc>
        <w:tc>
          <w:tcPr>
            <w:tcW w:w="472" w:type="pct"/>
          </w:tcPr>
          <w:p w14:paraId="47B05598" w14:textId="77777777" w:rsidR="007F4791" w:rsidRPr="00A25F2C" w:rsidRDefault="007F4791" w:rsidP="009A601F">
            <w:pPr>
              <w:pStyle w:val="TableBodyText"/>
              <w:spacing w:before="20" w:after="20" w:line="233" w:lineRule="auto"/>
              <w:jc w:val="right"/>
            </w:pPr>
            <w:r w:rsidRPr="00A25F2C">
              <w:rPr>
                <w:b/>
              </w:rPr>
              <w:t>1,351.6</w:t>
            </w:r>
          </w:p>
        </w:tc>
        <w:tc>
          <w:tcPr>
            <w:tcW w:w="470" w:type="pct"/>
          </w:tcPr>
          <w:p w14:paraId="52D079E4" w14:textId="77777777" w:rsidR="007F4791" w:rsidRPr="00A25F2C" w:rsidRDefault="007F4791" w:rsidP="009A601F">
            <w:pPr>
              <w:pStyle w:val="TableBodyText"/>
              <w:spacing w:before="20" w:after="20" w:line="233" w:lineRule="auto"/>
              <w:jc w:val="right"/>
            </w:pPr>
            <w:r w:rsidRPr="00A25F2C">
              <w:rPr>
                <w:b/>
              </w:rPr>
              <w:t>1,384.1</w:t>
            </w:r>
          </w:p>
        </w:tc>
        <w:tc>
          <w:tcPr>
            <w:tcW w:w="447" w:type="pct"/>
          </w:tcPr>
          <w:p w14:paraId="22E0F938" w14:textId="77777777" w:rsidR="007F4791" w:rsidRPr="00A25F2C" w:rsidRDefault="007F4791" w:rsidP="009A601F">
            <w:pPr>
              <w:pStyle w:val="TableBodyText"/>
              <w:spacing w:before="20" w:after="20" w:line="233" w:lineRule="auto"/>
              <w:jc w:val="right"/>
              <w:rPr>
                <w:b/>
              </w:rPr>
            </w:pPr>
            <w:r w:rsidRPr="00A25F2C">
              <w:rPr>
                <w:b/>
              </w:rPr>
              <w:t>1,445.7</w:t>
            </w:r>
          </w:p>
        </w:tc>
      </w:tr>
      <w:tr w:rsidR="007F4791" w:rsidRPr="00A25F2C" w14:paraId="7DE799BB" w14:textId="77777777" w:rsidTr="00F13D2F">
        <w:tc>
          <w:tcPr>
            <w:tcW w:w="1470" w:type="pct"/>
          </w:tcPr>
          <w:p w14:paraId="58BA57CA" w14:textId="77777777" w:rsidR="007F4791" w:rsidRPr="00A25F2C" w:rsidRDefault="007F4791" w:rsidP="009A601F">
            <w:pPr>
              <w:pStyle w:val="TableBodyText"/>
              <w:spacing w:before="20" w:after="20" w:line="233" w:lineRule="auto"/>
            </w:pPr>
            <w:r w:rsidRPr="00A25F2C">
              <w:rPr>
                <w:b/>
              </w:rPr>
              <w:t>EBIT</w:t>
            </w:r>
          </w:p>
        </w:tc>
        <w:tc>
          <w:tcPr>
            <w:tcW w:w="588" w:type="pct"/>
          </w:tcPr>
          <w:p w14:paraId="7FC6D2B8" w14:textId="77777777" w:rsidR="007F4791" w:rsidRPr="00A25F2C" w:rsidRDefault="007F4791" w:rsidP="009A601F">
            <w:pPr>
              <w:pStyle w:val="TableBodyText"/>
              <w:spacing w:before="20" w:after="20" w:line="233" w:lineRule="auto"/>
              <w:jc w:val="right"/>
            </w:pPr>
            <w:r w:rsidRPr="00A25F2C">
              <w:rPr>
                <w:b/>
              </w:rPr>
              <w:t>734.2</w:t>
            </w:r>
          </w:p>
        </w:tc>
        <w:tc>
          <w:tcPr>
            <w:tcW w:w="609" w:type="pct"/>
          </w:tcPr>
          <w:p w14:paraId="098EE418" w14:textId="77777777" w:rsidR="007F4791" w:rsidRPr="00A25F2C" w:rsidRDefault="007F4791" w:rsidP="009A601F">
            <w:pPr>
              <w:pStyle w:val="TableBodyText"/>
              <w:spacing w:before="20" w:after="20" w:line="233" w:lineRule="auto"/>
              <w:jc w:val="right"/>
            </w:pPr>
            <w:r w:rsidRPr="00A25F2C">
              <w:rPr>
                <w:b/>
              </w:rPr>
              <w:t>709.6</w:t>
            </w:r>
          </w:p>
        </w:tc>
        <w:tc>
          <w:tcPr>
            <w:tcW w:w="472" w:type="pct"/>
          </w:tcPr>
          <w:p w14:paraId="49D11AF3" w14:textId="77777777" w:rsidR="007F4791" w:rsidRPr="00A25F2C" w:rsidRDefault="007F4791" w:rsidP="009A601F">
            <w:pPr>
              <w:pStyle w:val="TableBodyText"/>
              <w:spacing w:before="20" w:after="20" w:line="233" w:lineRule="auto"/>
              <w:jc w:val="right"/>
            </w:pPr>
            <w:r w:rsidRPr="00A25F2C">
              <w:rPr>
                <w:b/>
              </w:rPr>
              <w:t>797.1</w:t>
            </w:r>
          </w:p>
        </w:tc>
        <w:tc>
          <w:tcPr>
            <w:tcW w:w="471" w:type="pct"/>
          </w:tcPr>
          <w:p w14:paraId="7603B8E3" w14:textId="77777777" w:rsidR="007F4791" w:rsidRPr="00A25F2C" w:rsidRDefault="007F4791" w:rsidP="009A601F">
            <w:pPr>
              <w:pStyle w:val="TableBodyText"/>
              <w:spacing w:before="20" w:after="20" w:line="233" w:lineRule="auto"/>
              <w:jc w:val="right"/>
            </w:pPr>
            <w:r w:rsidRPr="00A25F2C">
              <w:rPr>
                <w:b/>
              </w:rPr>
              <w:t>774.4</w:t>
            </w:r>
          </w:p>
        </w:tc>
        <w:tc>
          <w:tcPr>
            <w:tcW w:w="472" w:type="pct"/>
          </w:tcPr>
          <w:p w14:paraId="07D8C9CA" w14:textId="77777777" w:rsidR="007F4791" w:rsidRPr="00A25F2C" w:rsidRDefault="007F4791" w:rsidP="009A601F">
            <w:pPr>
              <w:pStyle w:val="TableBodyText"/>
              <w:spacing w:before="20" w:after="20" w:line="233" w:lineRule="auto"/>
              <w:jc w:val="right"/>
            </w:pPr>
            <w:r w:rsidRPr="00A25F2C">
              <w:rPr>
                <w:b/>
              </w:rPr>
              <w:t>871.3</w:t>
            </w:r>
          </w:p>
        </w:tc>
        <w:tc>
          <w:tcPr>
            <w:tcW w:w="470" w:type="pct"/>
          </w:tcPr>
          <w:p w14:paraId="22C1FE76" w14:textId="77777777" w:rsidR="007F4791" w:rsidRPr="00A25F2C" w:rsidRDefault="007F4791" w:rsidP="009A601F">
            <w:pPr>
              <w:pStyle w:val="TableBodyText"/>
              <w:spacing w:before="20" w:after="20" w:line="233" w:lineRule="auto"/>
              <w:jc w:val="right"/>
            </w:pPr>
            <w:r w:rsidRPr="00A25F2C">
              <w:rPr>
                <w:b/>
              </w:rPr>
              <w:t>903.3</w:t>
            </w:r>
          </w:p>
        </w:tc>
        <w:tc>
          <w:tcPr>
            <w:tcW w:w="447" w:type="pct"/>
          </w:tcPr>
          <w:p w14:paraId="074BB190" w14:textId="77777777" w:rsidR="007F4791" w:rsidRPr="00A25F2C" w:rsidRDefault="007F4791" w:rsidP="009A601F">
            <w:pPr>
              <w:pStyle w:val="TableBodyText"/>
              <w:spacing w:before="20" w:after="20" w:line="233" w:lineRule="auto"/>
              <w:jc w:val="right"/>
              <w:rPr>
                <w:b/>
              </w:rPr>
            </w:pPr>
            <w:r w:rsidRPr="00A25F2C">
              <w:rPr>
                <w:b/>
              </w:rPr>
              <w:t>900.4</w:t>
            </w:r>
          </w:p>
        </w:tc>
      </w:tr>
      <w:tr w:rsidR="007F4791" w:rsidRPr="00A25F2C" w14:paraId="5D62A2AF" w14:textId="77777777" w:rsidTr="00F13D2F">
        <w:tc>
          <w:tcPr>
            <w:tcW w:w="1470" w:type="pct"/>
          </w:tcPr>
          <w:p w14:paraId="39019285" w14:textId="77777777" w:rsidR="007F4791" w:rsidRPr="00A25F2C" w:rsidRDefault="007F4791" w:rsidP="009A601F">
            <w:pPr>
              <w:pStyle w:val="TableBodyText"/>
              <w:spacing w:before="20" w:after="20" w:line="233" w:lineRule="auto"/>
            </w:pPr>
            <w:r w:rsidRPr="00A25F2C">
              <w:t>Finance Charges</w:t>
            </w:r>
          </w:p>
        </w:tc>
        <w:tc>
          <w:tcPr>
            <w:tcW w:w="588" w:type="pct"/>
          </w:tcPr>
          <w:p w14:paraId="0C5ECE43" w14:textId="77777777" w:rsidR="007F4791" w:rsidRPr="00A25F2C" w:rsidRDefault="007F4791" w:rsidP="009A601F">
            <w:pPr>
              <w:pStyle w:val="TableBodyText"/>
              <w:spacing w:before="20" w:after="20" w:line="233" w:lineRule="auto"/>
              <w:jc w:val="right"/>
            </w:pPr>
            <w:r w:rsidRPr="00A25F2C">
              <w:t>553.3</w:t>
            </w:r>
          </w:p>
        </w:tc>
        <w:tc>
          <w:tcPr>
            <w:tcW w:w="609" w:type="pct"/>
          </w:tcPr>
          <w:p w14:paraId="2C1BA0EE" w14:textId="77777777" w:rsidR="007F4791" w:rsidRPr="00A25F2C" w:rsidRDefault="007F4791" w:rsidP="009A601F">
            <w:pPr>
              <w:pStyle w:val="TableBodyText"/>
              <w:spacing w:before="20" w:after="20" w:line="233" w:lineRule="auto"/>
              <w:jc w:val="right"/>
            </w:pPr>
            <w:r w:rsidRPr="00A25F2C">
              <w:t>548.8</w:t>
            </w:r>
          </w:p>
        </w:tc>
        <w:tc>
          <w:tcPr>
            <w:tcW w:w="472" w:type="pct"/>
          </w:tcPr>
          <w:p w14:paraId="3AF993F7" w14:textId="77777777" w:rsidR="007F4791" w:rsidRPr="00A25F2C" w:rsidRDefault="007F4791" w:rsidP="009A601F">
            <w:pPr>
              <w:pStyle w:val="TableBodyText"/>
              <w:spacing w:before="20" w:after="20" w:line="233" w:lineRule="auto"/>
              <w:jc w:val="right"/>
            </w:pPr>
            <w:r w:rsidRPr="00A25F2C">
              <w:t>585.6</w:t>
            </w:r>
          </w:p>
        </w:tc>
        <w:tc>
          <w:tcPr>
            <w:tcW w:w="471" w:type="pct"/>
          </w:tcPr>
          <w:p w14:paraId="13AE4BD7" w14:textId="77777777" w:rsidR="007F4791" w:rsidRPr="00A25F2C" w:rsidRDefault="007F4791" w:rsidP="009A601F">
            <w:pPr>
              <w:pStyle w:val="TableBodyText"/>
              <w:spacing w:before="20" w:after="20" w:line="233" w:lineRule="auto"/>
              <w:jc w:val="right"/>
            </w:pPr>
            <w:r w:rsidRPr="00A25F2C">
              <w:t>623.5</w:t>
            </w:r>
          </w:p>
        </w:tc>
        <w:tc>
          <w:tcPr>
            <w:tcW w:w="472" w:type="pct"/>
          </w:tcPr>
          <w:p w14:paraId="20A03A2B" w14:textId="77777777" w:rsidR="007F4791" w:rsidRPr="00A25F2C" w:rsidRDefault="007F4791" w:rsidP="009A601F">
            <w:pPr>
              <w:pStyle w:val="TableBodyText"/>
              <w:spacing w:before="20" w:after="20" w:line="233" w:lineRule="auto"/>
              <w:jc w:val="right"/>
            </w:pPr>
            <w:r w:rsidRPr="00A25F2C">
              <w:t>650.6</w:t>
            </w:r>
          </w:p>
        </w:tc>
        <w:tc>
          <w:tcPr>
            <w:tcW w:w="470" w:type="pct"/>
          </w:tcPr>
          <w:p w14:paraId="3DE44CE7" w14:textId="77777777" w:rsidR="007F4791" w:rsidRPr="00A25F2C" w:rsidRDefault="007F4791" w:rsidP="009A601F">
            <w:pPr>
              <w:pStyle w:val="TableBodyText"/>
              <w:spacing w:before="20" w:after="20" w:line="233" w:lineRule="auto"/>
              <w:jc w:val="right"/>
            </w:pPr>
            <w:r w:rsidRPr="00A25F2C">
              <w:t>690.2</w:t>
            </w:r>
          </w:p>
        </w:tc>
        <w:tc>
          <w:tcPr>
            <w:tcW w:w="447" w:type="pct"/>
          </w:tcPr>
          <w:p w14:paraId="7A67061E" w14:textId="77777777" w:rsidR="007F4791" w:rsidRPr="00A25F2C" w:rsidRDefault="007F4791" w:rsidP="009A601F">
            <w:pPr>
              <w:pStyle w:val="TableBodyText"/>
              <w:spacing w:before="20" w:after="20" w:line="233" w:lineRule="auto"/>
              <w:jc w:val="right"/>
            </w:pPr>
            <w:r w:rsidRPr="00A25F2C">
              <w:t>750.8</w:t>
            </w:r>
          </w:p>
        </w:tc>
      </w:tr>
      <w:tr w:rsidR="007F4791" w:rsidRPr="00A25F2C" w14:paraId="735A4449" w14:textId="77777777" w:rsidTr="00F13D2F">
        <w:tc>
          <w:tcPr>
            <w:tcW w:w="1470" w:type="pct"/>
          </w:tcPr>
          <w:p w14:paraId="2C080218" w14:textId="77777777" w:rsidR="007F4791" w:rsidRPr="00A25F2C" w:rsidRDefault="007F4791" w:rsidP="009A601F">
            <w:pPr>
              <w:pStyle w:val="TableBodyText"/>
              <w:spacing w:before="20" w:after="20" w:line="233" w:lineRule="auto"/>
            </w:pPr>
            <w:r w:rsidRPr="00A25F2C">
              <w:rPr>
                <w:b/>
              </w:rPr>
              <w:t>NPBT / (NLBT)</w:t>
            </w:r>
          </w:p>
        </w:tc>
        <w:tc>
          <w:tcPr>
            <w:tcW w:w="588" w:type="pct"/>
          </w:tcPr>
          <w:p w14:paraId="4A45297C" w14:textId="77777777" w:rsidR="007F4791" w:rsidRPr="00A25F2C" w:rsidRDefault="007F4791" w:rsidP="009A601F">
            <w:pPr>
              <w:pStyle w:val="TableBodyText"/>
              <w:spacing w:before="20" w:after="20" w:line="233" w:lineRule="auto"/>
              <w:jc w:val="right"/>
            </w:pPr>
            <w:r w:rsidRPr="00A25F2C">
              <w:rPr>
                <w:b/>
              </w:rPr>
              <w:t>180.9</w:t>
            </w:r>
          </w:p>
        </w:tc>
        <w:tc>
          <w:tcPr>
            <w:tcW w:w="609" w:type="pct"/>
          </w:tcPr>
          <w:p w14:paraId="5A5560EC" w14:textId="77777777" w:rsidR="007F4791" w:rsidRPr="00A25F2C" w:rsidRDefault="007F4791" w:rsidP="009A601F">
            <w:pPr>
              <w:pStyle w:val="TableBodyText"/>
              <w:spacing w:before="20" w:after="20" w:line="233" w:lineRule="auto"/>
              <w:jc w:val="right"/>
            </w:pPr>
            <w:r w:rsidRPr="00A25F2C">
              <w:rPr>
                <w:b/>
              </w:rPr>
              <w:t>160.8</w:t>
            </w:r>
          </w:p>
        </w:tc>
        <w:tc>
          <w:tcPr>
            <w:tcW w:w="472" w:type="pct"/>
          </w:tcPr>
          <w:p w14:paraId="187426A3" w14:textId="77777777" w:rsidR="007F4791" w:rsidRPr="00A25F2C" w:rsidRDefault="007F4791" w:rsidP="009A601F">
            <w:pPr>
              <w:pStyle w:val="TableBodyText"/>
              <w:spacing w:before="20" w:after="20" w:line="233" w:lineRule="auto"/>
              <w:jc w:val="right"/>
            </w:pPr>
            <w:r w:rsidRPr="00A25F2C">
              <w:rPr>
                <w:b/>
              </w:rPr>
              <w:t>211.5</w:t>
            </w:r>
          </w:p>
        </w:tc>
        <w:tc>
          <w:tcPr>
            <w:tcW w:w="471" w:type="pct"/>
          </w:tcPr>
          <w:p w14:paraId="3AFAFA15" w14:textId="77777777" w:rsidR="007F4791" w:rsidRPr="00A25F2C" w:rsidRDefault="007F4791" w:rsidP="009A601F">
            <w:pPr>
              <w:pStyle w:val="TableBodyText"/>
              <w:spacing w:before="20" w:after="20" w:line="233" w:lineRule="auto"/>
              <w:jc w:val="right"/>
            </w:pPr>
            <w:r w:rsidRPr="00A25F2C">
              <w:rPr>
                <w:b/>
              </w:rPr>
              <w:t>150.9</w:t>
            </w:r>
          </w:p>
        </w:tc>
        <w:tc>
          <w:tcPr>
            <w:tcW w:w="472" w:type="pct"/>
          </w:tcPr>
          <w:p w14:paraId="4958BA51" w14:textId="77777777" w:rsidR="007F4791" w:rsidRPr="00A25F2C" w:rsidRDefault="007F4791" w:rsidP="009A601F">
            <w:pPr>
              <w:pStyle w:val="TableBodyText"/>
              <w:spacing w:before="20" w:after="20" w:line="233" w:lineRule="auto"/>
              <w:jc w:val="right"/>
            </w:pPr>
            <w:r w:rsidRPr="00A25F2C">
              <w:rPr>
                <w:b/>
              </w:rPr>
              <w:t>220.7</w:t>
            </w:r>
          </w:p>
        </w:tc>
        <w:tc>
          <w:tcPr>
            <w:tcW w:w="470" w:type="pct"/>
          </w:tcPr>
          <w:p w14:paraId="6BF0823A" w14:textId="77777777" w:rsidR="007F4791" w:rsidRPr="00A25F2C" w:rsidRDefault="007F4791" w:rsidP="009A601F">
            <w:pPr>
              <w:pStyle w:val="TableBodyText"/>
              <w:spacing w:before="20" w:after="20" w:line="233" w:lineRule="auto"/>
              <w:jc w:val="right"/>
            </w:pPr>
            <w:r w:rsidRPr="00A25F2C">
              <w:rPr>
                <w:b/>
              </w:rPr>
              <w:t>213.1</w:t>
            </w:r>
          </w:p>
        </w:tc>
        <w:tc>
          <w:tcPr>
            <w:tcW w:w="447" w:type="pct"/>
          </w:tcPr>
          <w:p w14:paraId="04C0CBE2" w14:textId="77777777" w:rsidR="007F4791" w:rsidRPr="00A25F2C" w:rsidRDefault="007F4791" w:rsidP="009A601F">
            <w:pPr>
              <w:pStyle w:val="TableBodyText"/>
              <w:spacing w:before="20" w:after="20" w:line="233" w:lineRule="auto"/>
              <w:jc w:val="right"/>
              <w:rPr>
                <w:b/>
              </w:rPr>
            </w:pPr>
            <w:r w:rsidRPr="00A25F2C">
              <w:rPr>
                <w:b/>
              </w:rPr>
              <w:t>149.6</w:t>
            </w:r>
          </w:p>
        </w:tc>
      </w:tr>
      <w:tr w:rsidR="007F4791" w:rsidRPr="00A25F2C" w14:paraId="1D6778EF" w14:textId="77777777" w:rsidTr="00F13D2F">
        <w:tc>
          <w:tcPr>
            <w:tcW w:w="1470" w:type="pct"/>
          </w:tcPr>
          <w:p w14:paraId="68FAA4A5" w14:textId="77777777" w:rsidR="007F4791" w:rsidRPr="00A25F2C" w:rsidRDefault="007F4791" w:rsidP="009A601F">
            <w:pPr>
              <w:pStyle w:val="TableBodyText"/>
              <w:spacing w:before="20" w:after="20" w:line="233" w:lineRule="auto"/>
            </w:pPr>
            <w:r w:rsidRPr="00A25F2C">
              <w:t>Tax Expense/(Benefit)</w:t>
            </w:r>
          </w:p>
        </w:tc>
        <w:tc>
          <w:tcPr>
            <w:tcW w:w="588" w:type="pct"/>
          </w:tcPr>
          <w:p w14:paraId="728B3F28" w14:textId="77777777" w:rsidR="007F4791" w:rsidRPr="00A25F2C" w:rsidRDefault="007F4791" w:rsidP="009A601F">
            <w:pPr>
              <w:pStyle w:val="TableBodyText"/>
              <w:spacing w:before="20" w:after="20" w:line="233" w:lineRule="auto"/>
              <w:jc w:val="right"/>
            </w:pPr>
            <w:r w:rsidRPr="00A25F2C">
              <w:t>78.1</w:t>
            </w:r>
          </w:p>
        </w:tc>
        <w:tc>
          <w:tcPr>
            <w:tcW w:w="609" w:type="pct"/>
          </w:tcPr>
          <w:p w14:paraId="6302CCFA" w14:textId="77777777" w:rsidR="007F4791" w:rsidRPr="00A25F2C" w:rsidRDefault="007F4791" w:rsidP="009A601F">
            <w:pPr>
              <w:pStyle w:val="TableBodyText"/>
              <w:spacing w:before="20" w:after="20" w:line="233" w:lineRule="auto"/>
              <w:jc w:val="right"/>
            </w:pPr>
            <w:r w:rsidRPr="00A25F2C">
              <w:t>72.0</w:t>
            </w:r>
          </w:p>
        </w:tc>
        <w:tc>
          <w:tcPr>
            <w:tcW w:w="472" w:type="pct"/>
          </w:tcPr>
          <w:p w14:paraId="7D7E7EF0" w14:textId="77777777" w:rsidR="007F4791" w:rsidRPr="00A25F2C" w:rsidRDefault="007F4791" w:rsidP="009A601F">
            <w:pPr>
              <w:pStyle w:val="TableBodyText"/>
              <w:spacing w:before="20" w:after="20" w:line="233" w:lineRule="auto"/>
              <w:jc w:val="right"/>
            </w:pPr>
            <w:r w:rsidRPr="00A25F2C">
              <w:t>87.3</w:t>
            </w:r>
          </w:p>
        </w:tc>
        <w:tc>
          <w:tcPr>
            <w:tcW w:w="471" w:type="pct"/>
          </w:tcPr>
          <w:p w14:paraId="78D8C182" w14:textId="77777777" w:rsidR="007F4791" w:rsidRPr="00A25F2C" w:rsidRDefault="007F4791" w:rsidP="009A601F">
            <w:pPr>
              <w:pStyle w:val="TableBodyText"/>
              <w:spacing w:before="20" w:after="20" w:line="233" w:lineRule="auto"/>
              <w:jc w:val="right"/>
            </w:pPr>
            <w:r w:rsidRPr="00A25F2C">
              <w:t>69.1</w:t>
            </w:r>
          </w:p>
        </w:tc>
        <w:tc>
          <w:tcPr>
            <w:tcW w:w="472" w:type="pct"/>
          </w:tcPr>
          <w:p w14:paraId="2E84900A" w14:textId="77777777" w:rsidR="007F4791" w:rsidRPr="00A25F2C" w:rsidRDefault="007F4791" w:rsidP="009A601F">
            <w:pPr>
              <w:pStyle w:val="TableBodyText"/>
              <w:spacing w:before="20" w:after="20" w:line="233" w:lineRule="auto"/>
              <w:jc w:val="right"/>
            </w:pPr>
            <w:r w:rsidRPr="00A25F2C">
              <w:t>90.0</w:t>
            </w:r>
          </w:p>
        </w:tc>
        <w:tc>
          <w:tcPr>
            <w:tcW w:w="470" w:type="pct"/>
          </w:tcPr>
          <w:p w14:paraId="2E969432" w14:textId="77777777" w:rsidR="007F4791" w:rsidRPr="00A25F2C" w:rsidRDefault="007F4791" w:rsidP="009A601F">
            <w:pPr>
              <w:pStyle w:val="TableBodyText"/>
              <w:spacing w:before="20" w:after="20" w:line="233" w:lineRule="auto"/>
              <w:jc w:val="right"/>
            </w:pPr>
            <w:r w:rsidRPr="00A25F2C">
              <w:t>87.6</w:t>
            </w:r>
          </w:p>
        </w:tc>
        <w:tc>
          <w:tcPr>
            <w:tcW w:w="447" w:type="pct"/>
          </w:tcPr>
          <w:p w14:paraId="61BFFD5B" w14:textId="77777777" w:rsidR="007F4791" w:rsidRPr="00A25F2C" w:rsidRDefault="007F4791" w:rsidP="009A601F">
            <w:pPr>
              <w:pStyle w:val="TableBodyText"/>
              <w:spacing w:before="20" w:after="20" w:line="233" w:lineRule="auto"/>
              <w:jc w:val="right"/>
            </w:pPr>
            <w:r w:rsidRPr="00A25F2C">
              <w:t>68.5</w:t>
            </w:r>
          </w:p>
        </w:tc>
      </w:tr>
      <w:tr w:rsidR="007F4791" w:rsidRPr="00A25F2C" w14:paraId="0904FF09" w14:textId="77777777" w:rsidTr="00F13D2F">
        <w:tc>
          <w:tcPr>
            <w:tcW w:w="1470" w:type="pct"/>
          </w:tcPr>
          <w:p w14:paraId="25971961" w14:textId="77777777" w:rsidR="007F4791" w:rsidRPr="00A25F2C" w:rsidRDefault="007F4791" w:rsidP="009A601F">
            <w:pPr>
              <w:pStyle w:val="TableBodyText"/>
              <w:spacing w:before="20" w:after="20" w:line="233" w:lineRule="auto"/>
            </w:pPr>
            <w:r w:rsidRPr="00A25F2C">
              <w:rPr>
                <w:b/>
              </w:rPr>
              <w:t>NPAT / (NLAT)</w:t>
            </w:r>
          </w:p>
        </w:tc>
        <w:tc>
          <w:tcPr>
            <w:tcW w:w="588" w:type="pct"/>
          </w:tcPr>
          <w:p w14:paraId="30B56CB1" w14:textId="77777777" w:rsidR="007F4791" w:rsidRPr="00A25F2C" w:rsidRDefault="007F4791" w:rsidP="009A601F">
            <w:pPr>
              <w:pStyle w:val="TableBodyText"/>
              <w:spacing w:before="20" w:after="20" w:line="233" w:lineRule="auto"/>
              <w:jc w:val="right"/>
            </w:pPr>
            <w:r w:rsidRPr="00A25F2C">
              <w:rPr>
                <w:b/>
              </w:rPr>
              <w:t>102.8</w:t>
            </w:r>
          </w:p>
        </w:tc>
        <w:tc>
          <w:tcPr>
            <w:tcW w:w="609" w:type="pct"/>
          </w:tcPr>
          <w:p w14:paraId="3B177C98" w14:textId="77777777" w:rsidR="007F4791" w:rsidRPr="00A25F2C" w:rsidRDefault="007F4791" w:rsidP="009A601F">
            <w:pPr>
              <w:pStyle w:val="TableBodyText"/>
              <w:spacing w:before="20" w:after="20" w:line="233" w:lineRule="auto"/>
              <w:jc w:val="right"/>
            </w:pPr>
            <w:r w:rsidRPr="00A25F2C">
              <w:rPr>
                <w:b/>
              </w:rPr>
              <w:t>88.8</w:t>
            </w:r>
          </w:p>
        </w:tc>
        <w:tc>
          <w:tcPr>
            <w:tcW w:w="472" w:type="pct"/>
          </w:tcPr>
          <w:p w14:paraId="0F13B933" w14:textId="77777777" w:rsidR="007F4791" w:rsidRPr="00A25F2C" w:rsidRDefault="007F4791" w:rsidP="009A601F">
            <w:pPr>
              <w:pStyle w:val="TableBodyText"/>
              <w:spacing w:before="20" w:after="20" w:line="233" w:lineRule="auto"/>
              <w:jc w:val="right"/>
            </w:pPr>
            <w:r w:rsidRPr="00A25F2C">
              <w:rPr>
                <w:b/>
              </w:rPr>
              <w:t>124.2</w:t>
            </w:r>
          </w:p>
        </w:tc>
        <w:tc>
          <w:tcPr>
            <w:tcW w:w="471" w:type="pct"/>
          </w:tcPr>
          <w:p w14:paraId="02B4952D" w14:textId="77777777" w:rsidR="007F4791" w:rsidRPr="00A25F2C" w:rsidRDefault="007F4791" w:rsidP="009A601F">
            <w:pPr>
              <w:pStyle w:val="TableBodyText"/>
              <w:spacing w:before="20" w:after="20" w:line="233" w:lineRule="auto"/>
              <w:jc w:val="right"/>
            </w:pPr>
            <w:r w:rsidRPr="00A25F2C">
              <w:rPr>
                <w:b/>
              </w:rPr>
              <w:t>81.8</w:t>
            </w:r>
          </w:p>
        </w:tc>
        <w:tc>
          <w:tcPr>
            <w:tcW w:w="472" w:type="pct"/>
          </w:tcPr>
          <w:p w14:paraId="64CB82F0" w14:textId="77777777" w:rsidR="007F4791" w:rsidRPr="00A25F2C" w:rsidRDefault="007F4791" w:rsidP="009A601F">
            <w:pPr>
              <w:pStyle w:val="TableBodyText"/>
              <w:spacing w:before="20" w:after="20" w:line="233" w:lineRule="auto"/>
              <w:jc w:val="right"/>
            </w:pPr>
            <w:r w:rsidRPr="00A25F2C">
              <w:rPr>
                <w:b/>
              </w:rPr>
              <w:t>130.7</w:t>
            </w:r>
          </w:p>
        </w:tc>
        <w:tc>
          <w:tcPr>
            <w:tcW w:w="470" w:type="pct"/>
          </w:tcPr>
          <w:p w14:paraId="6E6B15BE" w14:textId="77777777" w:rsidR="007F4791" w:rsidRPr="00A25F2C" w:rsidRDefault="007F4791" w:rsidP="009A601F">
            <w:pPr>
              <w:pStyle w:val="TableBodyText"/>
              <w:spacing w:before="20" w:after="20" w:line="233" w:lineRule="auto"/>
              <w:jc w:val="right"/>
            </w:pPr>
            <w:r w:rsidRPr="00A25F2C">
              <w:rPr>
                <w:b/>
              </w:rPr>
              <w:t>125.5</w:t>
            </w:r>
          </w:p>
        </w:tc>
        <w:tc>
          <w:tcPr>
            <w:tcW w:w="447" w:type="pct"/>
          </w:tcPr>
          <w:p w14:paraId="1D2E01BA" w14:textId="77777777" w:rsidR="007F4791" w:rsidRPr="00A25F2C" w:rsidRDefault="007F4791" w:rsidP="009A601F">
            <w:pPr>
              <w:pStyle w:val="TableBodyText"/>
              <w:spacing w:before="20" w:after="20" w:line="233" w:lineRule="auto"/>
              <w:jc w:val="right"/>
              <w:rPr>
                <w:b/>
              </w:rPr>
            </w:pPr>
            <w:r w:rsidRPr="00A25F2C">
              <w:rPr>
                <w:b/>
              </w:rPr>
              <w:t>81.1</w:t>
            </w:r>
          </w:p>
        </w:tc>
      </w:tr>
      <w:tr w:rsidR="007F4791" w:rsidRPr="00A25F2C" w14:paraId="0D4A699F" w14:textId="77777777" w:rsidTr="00F13D2F">
        <w:tc>
          <w:tcPr>
            <w:tcW w:w="1470" w:type="pct"/>
          </w:tcPr>
          <w:p w14:paraId="1FB8B42B" w14:textId="77777777" w:rsidR="007F4791" w:rsidRPr="00A25F2C" w:rsidRDefault="007F4791" w:rsidP="009A601F">
            <w:pPr>
              <w:pStyle w:val="TableBodyText"/>
              <w:spacing w:before="20" w:after="20" w:line="233" w:lineRule="auto"/>
            </w:pPr>
            <w:r w:rsidRPr="00A25F2C">
              <w:t>Indicative Dividend</w:t>
            </w:r>
          </w:p>
        </w:tc>
        <w:tc>
          <w:tcPr>
            <w:tcW w:w="588" w:type="pct"/>
          </w:tcPr>
          <w:p w14:paraId="0BE49C6F" w14:textId="77777777" w:rsidR="007F4791" w:rsidRPr="00A25F2C" w:rsidRDefault="007F4791" w:rsidP="009A601F">
            <w:pPr>
              <w:pStyle w:val="TableBodyText"/>
              <w:spacing w:before="20" w:after="20" w:line="233" w:lineRule="auto"/>
              <w:jc w:val="right"/>
            </w:pPr>
            <w:r w:rsidRPr="00A25F2C">
              <w:t>12.3</w:t>
            </w:r>
          </w:p>
        </w:tc>
        <w:tc>
          <w:tcPr>
            <w:tcW w:w="609" w:type="pct"/>
          </w:tcPr>
          <w:p w14:paraId="5C51F463" w14:textId="77777777" w:rsidR="007F4791" w:rsidRPr="00A25F2C" w:rsidRDefault="007F4791" w:rsidP="009A601F">
            <w:pPr>
              <w:pStyle w:val="TableBodyText"/>
              <w:spacing w:before="20" w:after="20" w:line="233" w:lineRule="auto"/>
              <w:jc w:val="right"/>
            </w:pPr>
            <w:r w:rsidRPr="00A25F2C">
              <w:t>-</w:t>
            </w:r>
          </w:p>
        </w:tc>
        <w:tc>
          <w:tcPr>
            <w:tcW w:w="472" w:type="pct"/>
          </w:tcPr>
          <w:p w14:paraId="4F195E4B" w14:textId="77777777" w:rsidR="007F4791" w:rsidRPr="00A25F2C" w:rsidRDefault="007F4791" w:rsidP="009A601F">
            <w:pPr>
              <w:pStyle w:val="TableBodyText"/>
              <w:spacing w:before="20" w:after="20" w:line="233" w:lineRule="auto"/>
              <w:jc w:val="right"/>
            </w:pPr>
            <w:r w:rsidRPr="00A25F2C">
              <w:t>7.3</w:t>
            </w:r>
          </w:p>
        </w:tc>
        <w:tc>
          <w:tcPr>
            <w:tcW w:w="471" w:type="pct"/>
          </w:tcPr>
          <w:p w14:paraId="1B434568" w14:textId="77777777" w:rsidR="007F4791" w:rsidRPr="00A25F2C" w:rsidRDefault="007F4791" w:rsidP="009A601F">
            <w:pPr>
              <w:pStyle w:val="TableBodyText"/>
              <w:spacing w:before="20" w:after="20" w:line="233" w:lineRule="auto"/>
              <w:jc w:val="right"/>
            </w:pPr>
            <w:r w:rsidRPr="00A25F2C">
              <w:t>11.8</w:t>
            </w:r>
          </w:p>
        </w:tc>
        <w:tc>
          <w:tcPr>
            <w:tcW w:w="472" w:type="pct"/>
          </w:tcPr>
          <w:p w14:paraId="7ECA584E" w14:textId="77777777" w:rsidR="007F4791" w:rsidRPr="00A25F2C" w:rsidRDefault="007F4791" w:rsidP="009A601F">
            <w:pPr>
              <w:pStyle w:val="TableBodyText"/>
              <w:spacing w:before="20" w:after="20" w:line="233" w:lineRule="auto"/>
              <w:jc w:val="right"/>
            </w:pPr>
            <w:r w:rsidRPr="00A25F2C">
              <w:t>18.3</w:t>
            </w:r>
          </w:p>
        </w:tc>
        <w:tc>
          <w:tcPr>
            <w:tcW w:w="470" w:type="pct"/>
          </w:tcPr>
          <w:p w14:paraId="33AAAB03" w14:textId="77777777" w:rsidR="007F4791" w:rsidRPr="00A25F2C" w:rsidRDefault="007F4791" w:rsidP="009A601F">
            <w:pPr>
              <w:pStyle w:val="TableBodyText"/>
              <w:spacing w:before="20" w:after="20" w:line="233" w:lineRule="auto"/>
              <w:jc w:val="right"/>
            </w:pPr>
            <w:r w:rsidRPr="00A25F2C">
              <w:t>34.7</w:t>
            </w:r>
          </w:p>
        </w:tc>
        <w:tc>
          <w:tcPr>
            <w:tcW w:w="447" w:type="pct"/>
          </w:tcPr>
          <w:p w14:paraId="356F638A" w14:textId="77777777" w:rsidR="007F4791" w:rsidRPr="00A25F2C" w:rsidRDefault="007F4791" w:rsidP="009A601F">
            <w:pPr>
              <w:pStyle w:val="TableBodyText"/>
              <w:spacing w:before="20" w:after="20" w:line="233" w:lineRule="auto"/>
              <w:jc w:val="right"/>
            </w:pPr>
            <w:r w:rsidRPr="00A25F2C">
              <w:t>30.9</w:t>
            </w:r>
          </w:p>
        </w:tc>
      </w:tr>
      <w:tr w:rsidR="007F4791" w:rsidRPr="00A25F2C" w14:paraId="28E43781" w14:textId="77777777" w:rsidTr="00F13D2F">
        <w:tc>
          <w:tcPr>
            <w:tcW w:w="1470" w:type="pct"/>
          </w:tcPr>
          <w:p w14:paraId="7AC2ACFC" w14:textId="77777777" w:rsidR="007F4791" w:rsidRPr="00A25F2C" w:rsidRDefault="007F4791" w:rsidP="009A601F">
            <w:pPr>
              <w:pStyle w:val="TableBodyText"/>
              <w:spacing w:before="20" w:after="20" w:line="233" w:lineRule="auto"/>
            </w:pPr>
            <w:r w:rsidRPr="00A25F2C">
              <w:rPr>
                <w:b/>
              </w:rPr>
              <w:t>Amount Transferred to/(from) Equity</w:t>
            </w:r>
          </w:p>
        </w:tc>
        <w:tc>
          <w:tcPr>
            <w:tcW w:w="588" w:type="pct"/>
          </w:tcPr>
          <w:p w14:paraId="1973308B" w14:textId="77777777" w:rsidR="007F4791" w:rsidRPr="00A25F2C" w:rsidRDefault="007F4791" w:rsidP="009A601F">
            <w:pPr>
              <w:pStyle w:val="TableBodyText"/>
              <w:spacing w:before="20" w:after="20" w:line="233" w:lineRule="auto"/>
              <w:jc w:val="right"/>
            </w:pPr>
            <w:r w:rsidRPr="00A25F2C">
              <w:rPr>
                <w:b/>
              </w:rPr>
              <w:t>90.5</w:t>
            </w:r>
          </w:p>
        </w:tc>
        <w:tc>
          <w:tcPr>
            <w:tcW w:w="609" w:type="pct"/>
          </w:tcPr>
          <w:p w14:paraId="7319F4AC" w14:textId="77777777" w:rsidR="007F4791" w:rsidRPr="00A25F2C" w:rsidRDefault="007F4791" w:rsidP="009A601F">
            <w:pPr>
              <w:pStyle w:val="TableBodyText"/>
              <w:spacing w:before="20" w:after="20" w:line="233" w:lineRule="auto"/>
              <w:jc w:val="right"/>
            </w:pPr>
            <w:r w:rsidRPr="00A25F2C">
              <w:rPr>
                <w:b/>
              </w:rPr>
              <w:t>88.8</w:t>
            </w:r>
          </w:p>
        </w:tc>
        <w:tc>
          <w:tcPr>
            <w:tcW w:w="472" w:type="pct"/>
          </w:tcPr>
          <w:p w14:paraId="45CC62D2" w14:textId="77777777" w:rsidR="007F4791" w:rsidRPr="00A25F2C" w:rsidRDefault="007F4791" w:rsidP="009A601F">
            <w:pPr>
              <w:pStyle w:val="TableBodyText"/>
              <w:spacing w:before="20" w:after="20" w:line="233" w:lineRule="auto"/>
              <w:jc w:val="right"/>
            </w:pPr>
            <w:r w:rsidRPr="00A25F2C">
              <w:rPr>
                <w:b/>
              </w:rPr>
              <w:t>116.9</w:t>
            </w:r>
          </w:p>
        </w:tc>
        <w:tc>
          <w:tcPr>
            <w:tcW w:w="471" w:type="pct"/>
          </w:tcPr>
          <w:p w14:paraId="4CF7E157" w14:textId="77777777" w:rsidR="007F4791" w:rsidRPr="00A25F2C" w:rsidRDefault="007F4791" w:rsidP="009A601F">
            <w:pPr>
              <w:pStyle w:val="TableBodyText"/>
              <w:spacing w:before="20" w:after="20" w:line="233" w:lineRule="auto"/>
              <w:jc w:val="right"/>
            </w:pPr>
            <w:r w:rsidRPr="00A25F2C">
              <w:rPr>
                <w:b/>
              </w:rPr>
              <w:t>70.0</w:t>
            </w:r>
          </w:p>
        </w:tc>
        <w:tc>
          <w:tcPr>
            <w:tcW w:w="472" w:type="pct"/>
          </w:tcPr>
          <w:p w14:paraId="5C8C9248" w14:textId="77777777" w:rsidR="007F4791" w:rsidRPr="00A25F2C" w:rsidRDefault="007F4791" w:rsidP="009A601F">
            <w:pPr>
              <w:pStyle w:val="TableBodyText"/>
              <w:spacing w:before="20" w:after="20" w:line="233" w:lineRule="auto"/>
              <w:jc w:val="right"/>
            </w:pPr>
            <w:r w:rsidRPr="00A25F2C">
              <w:rPr>
                <w:b/>
              </w:rPr>
              <w:t>112.4</w:t>
            </w:r>
          </w:p>
        </w:tc>
        <w:tc>
          <w:tcPr>
            <w:tcW w:w="470" w:type="pct"/>
          </w:tcPr>
          <w:p w14:paraId="17D4BF88" w14:textId="77777777" w:rsidR="007F4791" w:rsidRPr="00A25F2C" w:rsidRDefault="007F4791" w:rsidP="009A601F">
            <w:pPr>
              <w:pStyle w:val="TableBodyText"/>
              <w:spacing w:before="20" w:after="20" w:line="233" w:lineRule="auto"/>
              <w:jc w:val="right"/>
            </w:pPr>
            <w:r w:rsidRPr="00A25F2C">
              <w:rPr>
                <w:b/>
              </w:rPr>
              <w:t>90.8</w:t>
            </w:r>
          </w:p>
        </w:tc>
        <w:tc>
          <w:tcPr>
            <w:tcW w:w="447" w:type="pct"/>
          </w:tcPr>
          <w:p w14:paraId="57C4830C" w14:textId="77777777" w:rsidR="007F4791" w:rsidRPr="00A25F2C" w:rsidRDefault="007F4791" w:rsidP="009A601F">
            <w:pPr>
              <w:pStyle w:val="TableBodyText"/>
              <w:spacing w:before="20" w:after="20" w:line="233" w:lineRule="auto"/>
              <w:jc w:val="right"/>
              <w:rPr>
                <w:b/>
              </w:rPr>
            </w:pPr>
            <w:r w:rsidRPr="00A25F2C">
              <w:rPr>
                <w:b/>
              </w:rPr>
              <w:t>50.2</w:t>
            </w:r>
          </w:p>
        </w:tc>
      </w:tr>
    </w:tbl>
    <w:p w14:paraId="6E91C1F6" w14:textId="0CEC5A3D" w:rsidR="00143D6B" w:rsidRDefault="007F4791" w:rsidP="007F4791">
      <w:pPr>
        <w:pStyle w:val="BodyText"/>
      </w:pPr>
      <w:r w:rsidRPr="00A25F2C">
        <w:t>All tables subject to rounding</w:t>
      </w:r>
      <w:r w:rsidR="009A601F">
        <w:t>.</w:t>
      </w:r>
    </w:p>
    <w:p w14:paraId="6769DA4A" w14:textId="441A7029" w:rsidR="007F4791" w:rsidRPr="00A25F2C" w:rsidRDefault="0086694E" w:rsidP="0086694E">
      <w:pPr>
        <w:pStyle w:val="Caption"/>
      </w:pPr>
      <w:r w:rsidRPr="0086694E">
        <w:lastRenderedPageBreak/>
        <w:t>Table E10 – Balance Sheet 2023-24</w:t>
      </w:r>
    </w:p>
    <w:tbl>
      <w:tblPr>
        <w:tblStyle w:val="TableProfessional"/>
        <w:tblW w:w="5000" w:type="pct"/>
        <w:tblLook w:val="0620" w:firstRow="1" w:lastRow="0" w:firstColumn="0" w:lastColumn="0" w:noHBand="1" w:noVBand="1"/>
      </w:tblPr>
      <w:tblGrid>
        <w:gridCol w:w="2309"/>
        <w:gridCol w:w="1046"/>
        <w:gridCol w:w="1046"/>
        <w:gridCol w:w="1046"/>
        <w:gridCol w:w="1046"/>
        <w:gridCol w:w="1046"/>
        <w:gridCol w:w="1046"/>
        <w:gridCol w:w="1046"/>
      </w:tblGrid>
      <w:tr w:rsidR="00335623" w:rsidRPr="00A25F2C" w14:paraId="1463897E" w14:textId="77777777" w:rsidTr="007467EC">
        <w:trPr>
          <w:cnfStyle w:val="100000000000" w:firstRow="1" w:lastRow="0" w:firstColumn="0" w:lastColumn="0" w:oddVBand="0" w:evenVBand="0" w:oddHBand="0" w:evenHBand="0" w:firstRowFirstColumn="0" w:firstRowLastColumn="0" w:lastRowFirstColumn="0" w:lastRowLastColumn="0"/>
        </w:trPr>
        <w:tc>
          <w:tcPr>
            <w:tcW w:w="1199" w:type="pct"/>
          </w:tcPr>
          <w:p w14:paraId="62E83454" w14:textId="6B6A44FE" w:rsidR="007F4791" w:rsidRPr="00A25F2C" w:rsidRDefault="007F4791" w:rsidP="004E1FA1">
            <w:pPr>
              <w:pStyle w:val="TableBodyText"/>
            </w:pPr>
            <w:r w:rsidRPr="00A25F2C">
              <w:t xml:space="preserve">Nominal </w:t>
            </w:r>
            <w:r w:rsidR="00E65500">
              <w:t>$ million</w:t>
            </w:r>
          </w:p>
        </w:tc>
        <w:tc>
          <w:tcPr>
            <w:tcW w:w="543" w:type="pct"/>
          </w:tcPr>
          <w:p w14:paraId="012C667E" w14:textId="77777777" w:rsidR="007F4791" w:rsidRPr="00A25F2C" w:rsidRDefault="007F4791" w:rsidP="00F13D2F">
            <w:pPr>
              <w:pStyle w:val="TableBodyText"/>
              <w:jc w:val="right"/>
            </w:pPr>
            <w:r w:rsidRPr="00A25F2C">
              <w:t>2022-23</w:t>
            </w:r>
          </w:p>
          <w:p w14:paraId="1F649970" w14:textId="77777777" w:rsidR="007F4791" w:rsidRPr="00A25F2C" w:rsidRDefault="007F4791" w:rsidP="00F13D2F">
            <w:pPr>
              <w:pStyle w:val="TableBodyText"/>
              <w:jc w:val="right"/>
            </w:pPr>
            <w:r w:rsidRPr="00A25F2C">
              <w:t>FCT</w:t>
            </w:r>
          </w:p>
        </w:tc>
        <w:tc>
          <w:tcPr>
            <w:tcW w:w="543" w:type="pct"/>
          </w:tcPr>
          <w:p w14:paraId="715F10DD" w14:textId="77777777" w:rsidR="007F4791" w:rsidRPr="00A25F2C" w:rsidRDefault="007F4791" w:rsidP="00F13D2F">
            <w:pPr>
              <w:pStyle w:val="TableBodyText"/>
              <w:jc w:val="right"/>
            </w:pPr>
            <w:r w:rsidRPr="00A25F2C">
              <w:t>2022-23</w:t>
            </w:r>
          </w:p>
          <w:p w14:paraId="6716D5F2" w14:textId="77777777" w:rsidR="007F4791" w:rsidRPr="00A25F2C" w:rsidRDefault="007F4791" w:rsidP="00F13D2F">
            <w:pPr>
              <w:pStyle w:val="TableBodyText"/>
              <w:jc w:val="right"/>
            </w:pPr>
            <w:r w:rsidRPr="00A25F2C">
              <w:t>PLAN</w:t>
            </w:r>
          </w:p>
        </w:tc>
        <w:tc>
          <w:tcPr>
            <w:tcW w:w="543" w:type="pct"/>
          </w:tcPr>
          <w:p w14:paraId="721A9D79" w14:textId="77777777" w:rsidR="007F4791" w:rsidRPr="00A25F2C" w:rsidRDefault="007F4791" w:rsidP="00F13D2F">
            <w:pPr>
              <w:pStyle w:val="TableBodyText"/>
              <w:jc w:val="right"/>
            </w:pPr>
            <w:r w:rsidRPr="00A25F2C">
              <w:t>2023-24</w:t>
            </w:r>
          </w:p>
        </w:tc>
        <w:tc>
          <w:tcPr>
            <w:tcW w:w="543" w:type="pct"/>
          </w:tcPr>
          <w:p w14:paraId="02180EC4" w14:textId="77777777" w:rsidR="007F4791" w:rsidRPr="00A25F2C" w:rsidRDefault="007F4791" w:rsidP="00F13D2F">
            <w:pPr>
              <w:pStyle w:val="TableBodyText"/>
              <w:jc w:val="right"/>
            </w:pPr>
            <w:r w:rsidRPr="00A25F2C">
              <w:t>2024-25</w:t>
            </w:r>
          </w:p>
        </w:tc>
        <w:tc>
          <w:tcPr>
            <w:tcW w:w="543" w:type="pct"/>
          </w:tcPr>
          <w:p w14:paraId="6FFB2694" w14:textId="77777777" w:rsidR="007F4791" w:rsidRPr="00A25F2C" w:rsidRDefault="007F4791" w:rsidP="00F13D2F">
            <w:pPr>
              <w:pStyle w:val="TableBodyText"/>
              <w:jc w:val="right"/>
            </w:pPr>
            <w:r w:rsidRPr="00A25F2C">
              <w:t>2025-26</w:t>
            </w:r>
          </w:p>
        </w:tc>
        <w:tc>
          <w:tcPr>
            <w:tcW w:w="543" w:type="pct"/>
          </w:tcPr>
          <w:p w14:paraId="1103F082" w14:textId="77777777" w:rsidR="007F4791" w:rsidRPr="00A25F2C" w:rsidRDefault="007F4791" w:rsidP="00F13D2F">
            <w:pPr>
              <w:pStyle w:val="TableBodyText"/>
              <w:jc w:val="right"/>
            </w:pPr>
            <w:r w:rsidRPr="00A25F2C">
              <w:t>2026-27</w:t>
            </w:r>
          </w:p>
        </w:tc>
        <w:tc>
          <w:tcPr>
            <w:tcW w:w="543" w:type="pct"/>
          </w:tcPr>
          <w:p w14:paraId="5F2E75A1" w14:textId="77777777" w:rsidR="007F4791" w:rsidRPr="00A25F2C" w:rsidRDefault="007F4791" w:rsidP="00F13D2F">
            <w:pPr>
              <w:pStyle w:val="TableBodyText"/>
              <w:jc w:val="right"/>
            </w:pPr>
            <w:r w:rsidRPr="00A25F2C">
              <w:t>2027-28</w:t>
            </w:r>
          </w:p>
        </w:tc>
      </w:tr>
      <w:tr w:rsidR="00335623" w:rsidRPr="00A25F2C" w14:paraId="2569CB05" w14:textId="77777777" w:rsidTr="007467EC">
        <w:tc>
          <w:tcPr>
            <w:tcW w:w="1199" w:type="pct"/>
          </w:tcPr>
          <w:p w14:paraId="499E5EBF" w14:textId="77777777" w:rsidR="00335623" w:rsidRPr="00A25F2C" w:rsidRDefault="00335623" w:rsidP="004E1FA1">
            <w:pPr>
              <w:pStyle w:val="TableBodyText"/>
              <w:rPr>
                <w:b/>
              </w:rPr>
            </w:pPr>
            <w:r w:rsidRPr="00777322">
              <w:rPr>
                <w:b/>
              </w:rPr>
              <w:t>Current Assets</w:t>
            </w:r>
          </w:p>
        </w:tc>
        <w:tc>
          <w:tcPr>
            <w:tcW w:w="543" w:type="pct"/>
          </w:tcPr>
          <w:p w14:paraId="5BA59329" w14:textId="22D83D56" w:rsidR="00335623" w:rsidRPr="00A25F2C" w:rsidRDefault="00995D31" w:rsidP="00F13D2F">
            <w:pPr>
              <w:spacing w:before="0" w:after="0"/>
              <w:jc w:val="right"/>
            </w:pPr>
            <w:r>
              <w:t>N/A</w:t>
            </w:r>
          </w:p>
        </w:tc>
        <w:tc>
          <w:tcPr>
            <w:tcW w:w="543" w:type="pct"/>
          </w:tcPr>
          <w:p w14:paraId="5C70BCEB" w14:textId="46BEE287" w:rsidR="00335623" w:rsidRPr="00A25F2C" w:rsidRDefault="00995D31" w:rsidP="00F13D2F">
            <w:pPr>
              <w:pStyle w:val="TableBodyText"/>
              <w:jc w:val="right"/>
            </w:pPr>
            <w:r>
              <w:t>N/A</w:t>
            </w:r>
          </w:p>
        </w:tc>
        <w:tc>
          <w:tcPr>
            <w:tcW w:w="543" w:type="pct"/>
          </w:tcPr>
          <w:p w14:paraId="6C0C7E07" w14:textId="776B542F" w:rsidR="00335623" w:rsidRPr="00A25F2C" w:rsidRDefault="00995D31" w:rsidP="00F13D2F">
            <w:pPr>
              <w:pStyle w:val="TableBodyText"/>
              <w:jc w:val="right"/>
            </w:pPr>
            <w:r>
              <w:t>N/A</w:t>
            </w:r>
          </w:p>
        </w:tc>
        <w:tc>
          <w:tcPr>
            <w:tcW w:w="543" w:type="pct"/>
          </w:tcPr>
          <w:p w14:paraId="364BD0A6" w14:textId="13B851AB" w:rsidR="00335623" w:rsidRPr="00A25F2C" w:rsidRDefault="00995D31" w:rsidP="00F13D2F">
            <w:pPr>
              <w:pStyle w:val="TableBodyText"/>
              <w:jc w:val="right"/>
            </w:pPr>
            <w:r>
              <w:t>N/A</w:t>
            </w:r>
          </w:p>
        </w:tc>
        <w:tc>
          <w:tcPr>
            <w:tcW w:w="543" w:type="pct"/>
          </w:tcPr>
          <w:p w14:paraId="15903EC2" w14:textId="28CF2945" w:rsidR="00335623" w:rsidRPr="00A25F2C" w:rsidRDefault="00995D31" w:rsidP="00F13D2F">
            <w:pPr>
              <w:pStyle w:val="TableBodyText"/>
              <w:jc w:val="right"/>
            </w:pPr>
            <w:r>
              <w:t>N/A</w:t>
            </w:r>
          </w:p>
        </w:tc>
        <w:tc>
          <w:tcPr>
            <w:tcW w:w="543" w:type="pct"/>
          </w:tcPr>
          <w:p w14:paraId="59C452C5" w14:textId="7515C90E" w:rsidR="00335623" w:rsidRPr="00A25F2C" w:rsidRDefault="00995D31" w:rsidP="00F13D2F">
            <w:pPr>
              <w:pStyle w:val="TableBodyText"/>
              <w:jc w:val="right"/>
            </w:pPr>
            <w:r>
              <w:t>N/A</w:t>
            </w:r>
          </w:p>
        </w:tc>
        <w:tc>
          <w:tcPr>
            <w:tcW w:w="543" w:type="pct"/>
          </w:tcPr>
          <w:p w14:paraId="7A0B7A8F" w14:textId="27F20CD2" w:rsidR="00335623" w:rsidRPr="00A25F2C" w:rsidRDefault="00995D31" w:rsidP="00F13D2F">
            <w:pPr>
              <w:pStyle w:val="TableBodyText"/>
              <w:jc w:val="right"/>
            </w:pPr>
            <w:r>
              <w:t>N/A</w:t>
            </w:r>
          </w:p>
        </w:tc>
      </w:tr>
      <w:tr w:rsidR="00671EDB" w:rsidRPr="00A25F2C" w14:paraId="1A4420A8" w14:textId="77777777" w:rsidTr="007467EC">
        <w:tc>
          <w:tcPr>
            <w:tcW w:w="1199" w:type="pct"/>
          </w:tcPr>
          <w:p w14:paraId="669E3716" w14:textId="77777777" w:rsidR="007F4791" w:rsidRPr="00A25F2C" w:rsidRDefault="007F4791" w:rsidP="004E1FA1">
            <w:pPr>
              <w:pStyle w:val="TableBodyText"/>
            </w:pPr>
            <w:r w:rsidRPr="00A25F2C">
              <w:t>Cash</w:t>
            </w:r>
          </w:p>
        </w:tc>
        <w:tc>
          <w:tcPr>
            <w:tcW w:w="543" w:type="pct"/>
          </w:tcPr>
          <w:p w14:paraId="5EB430A4" w14:textId="77777777" w:rsidR="007F4791" w:rsidRPr="00A25F2C" w:rsidRDefault="007F4791" w:rsidP="00F13D2F">
            <w:pPr>
              <w:pStyle w:val="TableBodyText"/>
              <w:jc w:val="right"/>
            </w:pPr>
            <w:r w:rsidRPr="00A25F2C">
              <w:t>0.1</w:t>
            </w:r>
          </w:p>
        </w:tc>
        <w:tc>
          <w:tcPr>
            <w:tcW w:w="543" w:type="pct"/>
          </w:tcPr>
          <w:p w14:paraId="41BAE1C3" w14:textId="77777777" w:rsidR="007F4791" w:rsidRPr="00A25F2C" w:rsidRDefault="007F4791" w:rsidP="00F13D2F">
            <w:pPr>
              <w:pStyle w:val="TableBodyText"/>
              <w:jc w:val="right"/>
            </w:pPr>
            <w:r w:rsidRPr="00A25F2C">
              <w:t>0.1</w:t>
            </w:r>
          </w:p>
        </w:tc>
        <w:tc>
          <w:tcPr>
            <w:tcW w:w="543" w:type="pct"/>
          </w:tcPr>
          <w:p w14:paraId="3973DC0B" w14:textId="77777777" w:rsidR="007F4791" w:rsidRPr="00A25F2C" w:rsidRDefault="007F4791" w:rsidP="00F13D2F">
            <w:pPr>
              <w:pStyle w:val="TableBodyText"/>
              <w:jc w:val="right"/>
            </w:pPr>
            <w:r w:rsidRPr="00A25F2C">
              <w:t>0.1</w:t>
            </w:r>
          </w:p>
        </w:tc>
        <w:tc>
          <w:tcPr>
            <w:tcW w:w="543" w:type="pct"/>
          </w:tcPr>
          <w:p w14:paraId="2CCD628C" w14:textId="77777777" w:rsidR="007F4791" w:rsidRPr="00A25F2C" w:rsidRDefault="007F4791" w:rsidP="00F13D2F">
            <w:pPr>
              <w:pStyle w:val="TableBodyText"/>
              <w:jc w:val="right"/>
            </w:pPr>
            <w:r w:rsidRPr="00A25F2C">
              <w:t>0.1</w:t>
            </w:r>
          </w:p>
        </w:tc>
        <w:tc>
          <w:tcPr>
            <w:tcW w:w="543" w:type="pct"/>
          </w:tcPr>
          <w:p w14:paraId="5E4A5273" w14:textId="77777777" w:rsidR="007F4791" w:rsidRPr="00A25F2C" w:rsidRDefault="007F4791" w:rsidP="00F13D2F">
            <w:pPr>
              <w:pStyle w:val="TableBodyText"/>
              <w:jc w:val="right"/>
            </w:pPr>
            <w:r w:rsidRPr="00A25F2C">
              <w:t>0.1</w:t>
            </w:r>
          </w:p>
        </w:tc>
        <w:tc>
          <w:tcPr>
            <w:tcW w:w="543" w:type="pct"/>
          </w:tcPr>
          <w:p w14:paraId="6449EB74" w14:textId="77777777" w:rsidR="007F4791" w:rsidRPr="00A25F2C" w:rsidRDefault="007F4791" w:rsidP="00F13D2F">
            <w:pPr>
              <w:pStyle w:val="TableBodyText"/>
              <w:jc w:val="right"/>
            </w:pPr>
            <w:r w:rsidRPr="00A25F2C">
              <w:t>0.1</w:t>
            </w:r>
          </w:p>
        </w:tc>
        <w:tc>
          <w:tcPr>
            <w:tcW w:w="543" w:type="pct"/>
          </w:tcPr>
          <w:p w14:paraId="02DAADA4" w14:textId="77777777" w:rsidR="007F4791" w:rsidRPr="00A25F2C" w:rsidRDefault="007F4791" w:rsidP="00F13D2F">
            <w:pPr>
              <w:pStyle w:val="TableBodyText"/>
              <w:jc w:val="right"/>
            </w:pPr>
            <w:r w:rsidRPr="00A25F2C">
              <w:t>0.1</w:t>
            </w:r>
          </w:p>
        </w:tc>
      </w:tr>
      <w:tr w:rsidR="00671EDB" w:rsidRPr="00A25F2C" w14:paraId="202F0EDC" w14:textId="77777777" w:rsidTr="007467EC">
        <w:tc>
          <w:tcPr>
            <w:tcW w:w="1199" w:type="pct"/>
          </w:tcPr>
          <w:p w14:paraId="42A589BA" w14:textId="77777777" w:rsidR="007F4791" w:rsidRPr="00A25F2C" w:rsidRDefault="007F4791" w:rsidP="004E1FA1">
            <w:pPr>
              <w:pStyle w:val="TableBodyText"/>
            </w:pPr>
            <w:r w:rsidRPr="00A25F2C">
              <w:t>Trade &amp; Other Receivables</w:t>
            </w:r>
          </w:p>
        </w:tc>
        <w:tc>
          <w:tcPr>
            <w:tcW w:w="543" w:type="pct"/>
          </w:tcPr>
          <w:p w14:paraId="63A173FE" w14:textId="77777777" w:rsidR="007F4791" w:rsidRPr="00A25F2C" w:rsidRDefault="007F4791" w:rsidP="00F13D2F">
            <w:pPr>
              <w:pStyle w:val="TableBodyText"/>
              <w:jc w:val="right"/>
            </w:pPr>
            <w:r w:rsidRPr="00A25F2C">
              <w:t>92.8</w:t>
            </w:r>
          </w:p>
        </w:tc>
        <w:tc>
          <w:tcPr>
            <w:tcW w:w="543" w:type="pct"/>
          </w:tcPr>
          <w:p w14:paraId="43EBC5CB" w14:textId="77777777" w:rsidR="007F4791" w:rsidRPr="00A25F2C" w:rsidRDefault="007F4791" w:rsidP="00F13D2F">
            <w:pPr>
              <w:pStyle w:val="TableBodyText"/>
              <w:jc w:val="right"/>
            </w:pPr>
            <w:r w:rsidRPr="00A25F2C">
              <w:t>86.2</w:t>
            </w:r>
          </w:p>
        </w:tc>
        <w:tc>
          <w:tcPr>
            <w:tcW w:w="543" w:type="pct"/>
          </w:tcPr>
          <w:p w14:paraId="470FD383" w14:textId="77777777" w:rsidR="007F4791" w:rsidRPr="00A25F2C" w:rsidRDefault="007F4791" w:rsidP="00F13D2F">
            <w:pPr>
              <w:pStyle w:val="TableBodyText"/>
              <w:jc w:val="right"/>
            </w:pPr>
            <w:r w:rsidRPr="00A25F2C">
              <w:t>99.0</w:t>
            </w:r>
          </w:p>
        </w:tc>
        <w:tc>
          <w:tcPr>
            <w:tcW w:w="543" w:type="pct"/>
          </w:tcPr>
          <w:p w14:paraId="45322F77" w14:textId="77777777" w:rsidR="007F4791" w:rsidRPr="00A25F2C" w:rsidRDefault="007F4791" w:rsidP="00F13D2F">
            <w:pPr>
              <w:pStyle w:val="TableBodyText"/>
              <w:jc w:val="right"/>
            </w:pPr>
            <w:r w:rsidRPr="00A25F2C">
              <w:t>101.2</w:t>
            </w:r>
          </w:p>
        </w:tc>
        <w:tc>
          <w:tcPr>
            <w:tcW w:w="543" w:type="pct"/>
          </w:tcPr>
          <w:p w14:paraId="3153D122" w14:textId="77777777" w:rsidR="007F4791" w:rsidRPr="00A25F2C" w:rsidRDefault="007F4791" w:rsidP="00F13D2F">
            <w:pPr>
              <w:pStyle w:val="TableBodyText"/>
              <w:jc w:val="right"/>
            </w:pPr>
            <w:r w:rsidRPr="00A25F2C">
              <w:t>99.2</w:t>
            </w:r>
          </w:p>
        </w:tc>
        <w:tc>
          <w:tcPr>
            <w:tcW w:w="543" w:type="pct"/>
          </w:tcPr>
          <w:p w14:paraId="778AC437" w14:textId="77777777" w:rsidR="007F4791" w:rsidRPr="00A25F2C" w:rsidRDefault="007F4791" w:rsidP="00F13D2F">
            <w:pPr>
              <w:pStyle w:val="TableBodyText"/>
              <w:jc w:val="right"/>
            </w:pPr>
            <w:r w:rsidRPr="00A25F2C">
              <w:t>104.5</w:t>
            </w:r>
          </w:p>
        </w:tc>
        <w:tc>
          <w:tcPr>
            <w:tcW w:w="543" w:type="pct"/>
          </w:tcPr>
          <w:p w14:paraId="21965B08" w14:textId="77777777" w:rsidR="007F4791" w:rsidRPr="00A25F2C" w:rsidRDefault="007F4791" w:rsidP="00F13D2F">
            <w:pPr>
              <w:pStyle w:val="TableBodyText"/>
              <w:jc w:val="right"/>
            </w:pPr>
            <w:r w:rsidRPr="00A25F2C">
              <w:t>107.9</w:t>
            </w:r>
          </w:p>
        </w:tc>
      </w:tr>
      <w:tr w:rsidR="00671EDB" w:rsidRPr="00A25F2C" w14:paraId="3BA66810" w14:textId="77777777" w:rsidTr="007467EC">
        <w:tc>
          <w:tcPr>
            <w:tcW w:w="1199" w:type="pct"/>
          </w:tcPr>
          <w:p w14:paraId="4859D64D" w14:textId="77777777" w:rsidR="007F4791" w:rsidRPr="00A25F2C" w:rsidRDefault="007F4791" w:rsidP="004E1FA1">
            <w:pPr>
              <w:pStyle w:val="TableBodyText"/>
            </w:pPr>
            <w:r w:rsidRPr="00A25F2C">
              <w:t>Materials</w:t>
            </w:r>
          </w:p>
        </w:tc>
        <w:tc>
          <w:tcPr>
            <w:tcW w:w="543" w:type="pct"/>
          </w:tcPr>
          <w:p w14:paraId="397F33A5" w14:textId="77777777" w:rsidR="007F4791" w:rsidRPr="00A25F2C" w:rsidRDefault="007F4791" w:rsidP="00F13D2F">
            <w:pPr>
              <w:pStyle w:val="TableBodyText"/>
              <w:jc w:val="right"/>
            </w:pPr>
            <w:r w:rsidRPr="00A25F2C">
              <w:t>9.1</w:t>
            </w:r>
          </w:p>
        </w:tc>
        <w:tc>
          <w:tcPr>
            <w:tcW w:w="543" w:type="pct"/>
          </w:tcPr>
          <w:p w14:paraId="5FED1B74" w14:textId="77777777" w:rsidR="007F4791" w:rsidRPr="00A25F2C" w:rsidRDefault="007F4791" w:rsidP="00F13D2F">
            <w:pPr>
              <w:pStyle w:val="TableBodyText"/>
              <w:jc w:val="right"/>
            </w:pPr>
            <w:r w:rsidRPr="00A25F2C">
              <w:t>9.8</w:t>
            </w:r>
          </w:p>
        </w:tc>
        <w:tc>
          <w:tcPr>
            <w:tcW w:w="543" w:type="pct"/>
          </w:tcPr>
          <w:p w14:paraId="26431B2B" w14:textId="77777777" w:rsidR="007F4791" w:rsidRPr="00A25F2C" w:rsidRDefault="007F4791" w:rsidP="00F13D2F">
            <w:pPr>
              <w:pStyle w:val="TableBodyText"/>
              <w:jc w:val="right"/>
            </w:pPr>
            <w:r w:rsidRPr="00A25F2C">
              <w:t>9.1</w:t>
            </w:r>
          </w:p>
        </w:tc>
        <w:tc>
          <w:tcPr>
            <w:tcW w:w="543" w:type="pct"/>
          </w:tcPr>
          <w:p w14:paraId="7775F4EB" w14:textId="77777777" w:rsidR="007F4791" w:rsidRPr="00A25F2C" w:rsidRDefault="007F4791" w:rsidP="00F13D2F">
            <w:pPr>
              <w:pStyle w:val="TableBodyText"/>
              <w:jc w:val="right"/>
            </w:pPr>
            <w:r w:rsidRPr="00A25F2C">
              <w:t>9.1</w:t>
            </w:r>
          </w:p>
        </w:tc>
        <w:tc>
          <w:tcPr>
            <w:tcW w:w="543" w:type="pct"/>
          </w:tcPr>
          <w:p w14:paraId="0341D356" w14:textId="77777777" w:rsidR="007F4791" w:rsidRPr="00A25F2C" w:rsidRDefault="007F4791" w:rsidP="00F13D2F">
            <w:pPr>
              <w:pStyle w:val="TableBodyText"/>
              <w:jc w:val="right"/>
            </w:pPr>
            <w:r w:rsidRPr="00A25F2C">
              <w:t>9.1</w:t>
            </w:r>
          </w:p>
        </w:tc>
        <w:tc>
          <w:tcPr>
            <w:tcW w:w="543" w:type="pct"/>
          </w:tcPr>
          <w:p w14:paraId="0F553661" w14:textId="77777777" w:rsidR="007F4791" w:rsidRPr="00A25F2C" w:rsidRDefault="007F4791" w:rsidP="00F13D2F">
            <w:pPr>
              <w:pStyle w:val="TableBodyText"/>
              <w:jc w:val="right"/>
            </w:pPr>
            <w:r w:rsidRPr="00A25F2C">
              <w:t>9.1</w:t>
            </w:r>
          </w:p>
        </w:tc>
        <w:tc>
          <w:tcPr>
            <w:tcW w:w="543" w:type="pct"/>
          </w:tcPr>
          <w:p w14:paraId="5313DA31" w14:textId="77777777" w:rsidR="007F4791" w:rsidRPr="00A25F2C" w:rsidRDefault="007F4791" w:rsidP="00F13D2F">
            <w:pPr>
              <w:pStyle w:val="TableBodyText"/>
              <w:jc w:val="right"/>
            </w:pPr>
            <w:r w:rsidRPr="00A25F2C">
              <w:t>9.1</w:t>
            </w:r>
          </w:p>
        </w:tc>
      </w:tr>
      <w:tr w:rsidR="00671EDB" w:rsidRPr="00A25F2C" w14:paraId="333F1EEF" w14:textId="77777777" w:rsidTr="007467EC">
        <w:tc>
          <w:tcPr>
            <w:tcW w:w="1199" w:type="pct"/>
          </w:tcPr>
          <w:p w14:paraId="79F2F49E" w14:textId="77777777" w:rsidR="007F4791" w:rsidRPr="00A25F2C" w:rsidRDefault="007F4791" w:rsidP="004E1FA1">
            <w:pPr>
              <w:pStyle w:val="TableBodyText"/>
            </w:pPr>
            <w:r w:rsidRPr="00A25F2C">
              <w:t>Other</w:t>
            </w:r>
          </w:p>
        </w:tc>
        <w:tc>
          <w:tcPr>
            <w:tcW w:w="543" w:type="pct"/>
          </w:tcPr>
          <w:p w14:paraId="789F442F" w14:textId="77777777" w:rsidR="007F4791" w:rsidRPr="00A25F2C" w:rsidRDefault="007F4791" w:rsidP="00F13D2F">
            <w:pPr>
              <w:pStyle w:val="TableBodyText"/>
              <w:jc w:val="right"/>
            </w:pPr>
            <w:r w:rsidRPr="00A25F2C">
              <w:t>13.0</w:t>
            </w:r>
          </w:p>
        </w:tc>
        <w:tc>
          <w:tcPr>
            <w:tcW w:w="543" w:type="pct"/>
          </w:tcPr>
          <w:p w14:paraId="1107C9C5" w14:textId="77777777" w:rsidR="007F4791" w:rsidRPr="00A25F2C" w:rsidRDefault="007F4791" w:rsidP="00F13D2F">
            <w:pPr>
              <w:pStyle w:val="TableBodyText"/>
              <w:jc w:val="right"/>
            </w:pPr>
            <w:r w:rsidRPr="00A25F2C">
              <w:t>7.5</w:t>
            </w:r>
          </w:p>
        </w:tc>
        <w:tc>
          <w:tcPr>
            <w:tcW w:w="543" w:type="pct"/>
          </w:tcPr>
          <w:p w14:paraId="72D4466E" w14:textId="77777777" w:rsidR="007F4791" w:rsidRPr="00A25F2C" w:rsidRDefault="007F4791" w:rsidP="00F13D2F">
            <w:pPr>
              <w:pStyle w:val="TableBodyText"/>
              <w:jc w:val="right"/>
            </w:pPr>
            <w:r w:rsidRPr="00A25F2C">
              <w:t>12.3</w:t>
            </w:r>
          </w:p>
        </w:tc>
        <w:tc>
          <w:tcPr>
            <w:tcW w:w="543" w:type="pct"/>
          </w:tcPr>
          <w:p w14:paraId="549EEF2F" w14:textId="77777777" w:rsidR="007F4791" w:rsidRPr="00A25F2C" w:rsidRDefault="007F4791" w:rsidP="00F13D2F">
            <w:pPr>
              <w:pStyle w:val="TableBodyText"/>
              <w:jc w:val="right"/>
            </w:pPr>
            <w:r w:rsidRPr="00A25F2C">
              <w:t>12.3</w:t>
            </w:r>
          </w:p>
        </w:tc>
        <w:tc>
          <w:tcPr>
            <w:tcW w:w="543" w:type="pct"/>
          </w:tcPr>
          <w:p w14:paraId="704AB669" w14:textId="77777777" w:rsidR="007F4791" w:rsidRPr="00A25F2C" w:rsidRDefault="007F4791" w:rsidP="00F13D2F">
            <w:pPr>
              <w:pStyle w:val="TableBodyText"/>
              <w:jc w:val="right"/>
            </w:pPr>
            <w:r w:rsidRPr="00A25F2C">
              <w:t>12.3</w:t>
            </w:r>
          </w:p>
        </w:tc>
        <w:tc>
          <w:tcPr>
            <w:tcW w:w="543" w:type="pct"/>
          </w:tcPr>
          <w:p w14:paraId="7D44E043" w14:textId="77777777" w:rsidR="007F4791" w:rsidRPr="00A25F2C" w:rsidRDefault="007F4791" w:rsidP="00F13D2F">
            <w:pPr>
              <w:pStyle w:val="TableBodyText"/>
              <w:jc w:val="right"/>
            </w:pPr>
            <w:r w:rsidRPr="00A25F2C">
              <w:t>12.3</w:t>
            </w:r>
          </w:p>
        </w:tc>
        <w:tc>
          <w:tcPr>
            <w:tcW w:w="543" w:type="pct"/>
          </w:tcPr>
          <w:p w14:paraId="565C6FF0" w14:textId="77777777" w:rsidR="007F4791" w:rsidRPr="00A25F2C" w:rsidRDefault="007F4791" w:rsidP="00F13D2F">
            <w:pPr>
              <w:pStyle w:val="TableBodyText"/>
              <w:jc w:val="right"/>
            </w:pPr>
            <w:r w:rsidRPr="00A25F2C">
              <w:t>12.3</w:t>
            </w:r>
          </w:p>
        </w:tc>
      </w:tr>
      <w:tr w:rsidR="00671EDB" w:rsidRPr="00A25F2C" w14:paraId="4B81C3C4" w14:textId="77777777" w:rsidTr="007467EC">
        <w:tc>
          <w:tcPr>
            <w:tcW w:w="1199" w:type="pct"/>
          </w:tcPr>
          <w:p w14:paraId="17927B03" w14:textId="77777777" w:rsidR="007F4791" w:rsidRPr="00A25F2C" w:rsidRDefault="007F4791" w:rsidP="004E1FA1">
            <w:pPr>
              <w:pStyle w:val="TableBodyText"/>
            </w:pPr>
            <w:r w:rsidRPr="00A25F2C">
              <w:rPr>
                <w:b/>
              </w:rPr>
              <w:t>Total Current Assets</w:t>
            </w:r>
          </w:p>
        </w:tc>
        <w:tc>
          <w:tcPr>
            <w:tcW w:w="543" w:type="pct"/>
          </w:tcPr>
          <w:p w14:paraId="6985E0CD" w14:textId="77777777" w:rsidR="007F4791" w:rsidRPr="00A25F2C" w:rsidRDefault="007F4791" w:rsidP="00F13D2F">
            <w:pPr>
              <w:pStyle w:val="TableBodyText"/>
              <w:jc w:val="right"/>
            </w:pPr>
            <w:r w:rsidRPr="00A25F2C">
              <w:rPr>
                <w:b/>
              </w:rPr>
              <w:t>115.0</w:t>
            </w:r>
          </w:p>
        </w:tc>
        <w:tc>
          <w:tcPr>
            <w:tcW w:w="543" w:type="pct"/>
          </w:tcPr>
          <w:p w14:paraId="500E19F3" w14:textId="77777777" w:rsidR="007F4791" w:rsidRPr="00A25F2C" w:rsidRDefault="007F4791" w:rsidP="00F13D2F">
            <w:pPr>
              <w:pStyle w:val="TableBodyText"/>
              <w:jc w:val="right"/>
            </w:pPr>
            <w:r w:rsidRPr="00A25F2C">
              <w:rPr>
                <w:b/>
              </w:rPr>
              <w:t>103.6</w:t>
            </w:r>
          </w:p>
        </w:tc>
        <w:tc>
          <w:tcPr>
            <w:tcW w:w="543" w:type="pct"/>
          </w:tcPr>
          <w:p w14:paraId="48065452" w14:textId="77777777" w:rsidR="007F4791" w:rsidRPr="00A25F2C" w:rsidRDefault="007F4791" w:rsidP="00F13D2F">
            <w:pPr>
              <w:pStyle w:val="TableBodyText"/>
              <w:jc w:val="right"/>
            </w:pPr>
            <w:r w:rsidRPr="00A25F2C">
              <w:rPr>
                <w:b/>
              </w:rPr>
              <w:t>120.5</w:t>
            </w:r>
          </w:p>
        </w:tc>
        <w:tc>
          <w:tcPr>
            <w:tcW w:w="543" w:type="pct"/>
          </w:tcPr>
          <w:p w14:paraId="35DDADD9" w14:textId="77777777" w:rsidR="007F4791" w:rsidRPr="00A25F2C" w:rsidRDefault="007F4791" w:rsidP="00F13D2F">
            <w:pPr>
              <w:pStyle w:val="TableBodyText"/>
              <w:jc w:val="right"/>
            </w:pPr>
            <w:r w:rsidRPr="00A25F2C">
              <w:rPr>
                <w:b/>
              </w:rPr>
              <w:t>122.7</w:t>
            </w:r>
          </w:p>
        </w:tc>
        <w:tc>
          <w:tcPr>
            <w:tcW w:w="543" w:type="pct"/>
          </w:tcPr>
          <w:p w14:paraId="1463326E" w14:textId="77777777" w:rsidR="007F4791" w:rsidRPr="00A25F2C" w:rsidRDefault="007F4791" w:rsidP="00F13D2F">
            <w:pPr>
              <w:pStyle w:val="TableBodyText"/>
              <w:jc w:val="right"/>
            </w:pPr>
            <w:r w:rsidRPr="00A25F2C">
              <w:rPr>
                <w:b/>
              </w:rPr>
              <w:t>120.7</w:t>
            </w:r>
          </w:p>
        </w:tc>
        <w:tc>
          <w:tcPr>
            <w:tcW w:w="543" w:type="pct"/>
          </w:tcPr>
          <w:p w14:paraId="3C925C36" w14:textId="77777777" w:rsidR="007F4791" w:rsidRPr="00A25F2C" w:rsidRDefault="007F4791" w:rsidP="00F13D2F">
            <w:pPr>
              <w:pStyle w:val="TableBodyText"/>
              <w:jc w:val="right"/>
            </w:pPr>
            <w:r w:rsidRPr="00A25F2C">
              <w:rPr>
                <w:b/>
              </w:rPr>
              <w:t>126.0</w:t>
            </w:r>
          </w:p>
        </w:tc>
        <w:tc>
          <w:tcPr>
            <w:tcW w:w="543" w:type="pct"/>
          </w:tcPr>
          <w:p w14:paraId="55E84A93" w14:textId="77777777" w:rsidR="007F4791" w:rsidRPr="00A25F2C" w:rsidRDefault="007F4791" w:rsidP="00F13D2F">
            <w:pPr>
              <w:pStyle w:val="TableBodyText"/>
              <w:jc w:val="right"/>
              <w:rPr>
                <w:b/>
              </w:rPr>
            </w:pPr>
            <w:r w:rsidRPr="00A25F2C">
              <w:rPr>
                <w:b/>
              </w:rPr>
              <w:t>129.4</w:t>
            </w:r>
          </w:p>
        </w:tc>
      </w:tr>
      <w:tr w:rsidR="00671EDB" w:rsidRPr="00A25F2C" w14:paraId="7FF889E5" w14:textId="77777777" w:rsidTr="007467EC">
        <w:tc>
          <w:tcPr>
            <w:tcW w:w="1199" w:type="pct"/>
          </w:tcPr>
          <w:p w14:paraId="4C40124A" w14:textId="77777777" w:rsidR="00335623" w:rsidRPr="00A25F2C" w:rsidRDefault="00335623" w:rsidP="00335623">
            <w:pPr>
              <w:pStyle w:val="TableBodyText"/>
              <w:rPr>
                <w:b/>
              </w:rPr>
            </w:pPr>
            <w:r w:rsidRPr="00A25F2C">
              <w:rPr>
                <w:b/>
              </w:rPr>
              <w:t>Non-Current Assets</w:t>
            </w:r>
          </w:p>
        </w:tc>
        <w:tc>
          <w:tcPr>
            <w:tcW w:w="543" w:type="pct"/>
          </w:tcPr>
          <w:p w14:paraId="510A83CA" w14:textId="10536FC7" w:rsidR="00335623" w:rsidRPr="00A25F2C" w:rsidRDefault="00995D31" w:rsidP="00335623">
            <w:pPr>
              <w:spacing w:before="0" w:after="0"/>
              <w:jc w:val="right"/>
            </w:pPr>
            <w:r>
              <w:t>N/A</w:t>
            </w:r>
          </w:p>
        </w:tc>
        <w:tc>
          <w:tcPr>
            <w:tcW w:w="543" w:type="pct"/>
          </w:tcPr>
          <w:p w14:paraId="5028517D" w14:textId="06DDD793" w:rsidR="00335623" w:rsidRPr="00A25F2C" w:rsidRDefault="00995D31" w:rsidP="00335623">
            <w:pPr>
              <w:pStyle w:val="TableBodyText"/>
              <w:jc w:val="right"/>
            </w:pPr>
            <w:r>
              <w:t>N/A</w:t>
            </w:r>
          </w:p>
        </w:tc>
        <w:tc>
          <w:tcPr>
            <w:tcW w:w="543" w:type="pct"/>
          </w:tcPr>
          <w:p w14:paraId="35CAFCDB" w14:textId="3539946D" w:rsidR="00335623" w:rsidRPr="00A25F2C" w:rsidRDefault="00995D31" w:rsidP="00335623">
            <w:pPr>
              <w:pStyle w:val="TableBodyText"/>
              <w:jc w:val="right"/>
            </w:pPr>
            <w:r>
              <w:t>N/A</w:t>
            </w:r>
          </w:p>
        </w:tc>
        <w:tc>
          <w:tcPr>
            <w:tcW w:w="543" w:type="pct"/>
          </w:tcPr>
          <w:p w14:paraId="47532C3C" w14:textId="00987378" w:rsidR="00335623" w:rsidRPr="00A25F2C" w:rsidRDefault="00995D31" w:rsidP="00335623">
            <w:pPr>
              <w:pStyle w:val="TableBodyText"/>
              <w:jc w:val="right"/>
            </w:pPr>
            <w:r>
              <w:t>N/A</w:t>
            </w:r>
          </w:p>
        </w:tc>
        <w:tc>
          <w:tcPr>
            <w:tcW w:w="543" w:type="pct"/>
          </w:tcPr>
          <w:p w14:paraId="5CD4C8FF" w14:textId="54F66024" w:rsidR="00335623" w:rsidRPr="00A25F2C" w:rsidRDefault="00995D31" w:rsidP="00335623">
            <w:pPr>
              <w:pStyle w:val="TableBodyText"/>
              <w:jc w:val="right"/>
            </w:pPr>
            <w:r>
              <w:t>N/A</w:t>
            </w:r>
          </w:p>
        </w:tc>
        <w:tc>
          <w:tcPr>
            <w:tcW w:w="543" w:type="pct"/>
          </w:tcPr>
          <w:p w14:paraId="6A2FB840" w14:textId="639D4947" w:rsidR="00335623" w:rsidRPr="00A25F2C" w:rsidRDefault="00995D31" w:rsidP="00335623">
            <w:pPr>
              <w:pStyle w:val="TableBodyText"/>
              <w:jc w:val="right"/>
            </w:pPr>
            <w:r>
              <w:t>N/A</w:t>
            </w:r>
          </w:p>
        </w:tc>
        <w:tc>
          <w:tcPr>
            <w:tcW w:w="543" w:type="pct"/>
          </w:tcPr>
          <w:p w14:paraId="1B6EAD3C" w14:textId="3F30E966" w:rsidR="00335623" w:rsidRPr="00A25F2C" w:rsidRDefault="00995D31" w:rsidP="00335623">
            <w:pPr>
              <w:pStyle w:val="TableBodyText"/>
              <w:jc w:val="right"/>
            </w:pPr>
            <w:r>
              <w:t>N/A</w:t>
            </w:r>
          </w:p>
        </w:tc>
      </w:tr>
      <w:tr w:rsidR="00671EDB" w:rsidRPr="00A25F2C" w14:paraId="0AEED78F" w14:textId="77777777" w:rsidTr="007467EC">
        <w:tc>
          <w:tcPr>
            <w:tcW w:w="1199" w:type="pct"/>
          </w:tcPr>
          <w:p w14:paraId="7CCF11BF" w14:textId="77777777" w:rsidR="009A601F" w:rsidRPr="00A25F2C" w:rsidRDefault="009A601F" w:rsidP="009A601F">
            <w:pPr>
              <w:pStyle w:val="TableBodyText"/>
            </w:pPr>
            <w:r w:rsidRPr="00A25F2C">
              <w:t>Fixed Assets (net of accumulated depreciation)</w:t>
            </w:r>
          </w:p>
        </w:tc>
        <w:tc>
          <w:tcPr>
            <w:tcW w:w="543" w:type="pct"/>
          </w:tcPr>
          <w:p w14:paraId="2EE8BA75" w14:textId="77777777" w:rsidR="009A601F" w:rsidRPr="00A25F2C" w:rsidRDefault="009A601F" w:rsidP="009A601F">
            <w:pPr>
              <w:pStyle w:val="TableBodyText"/>
              <w:jc w:val="right"/>
            </w:pPr>
            <w:r w:rsidRPr="00A25F2C">
              <w:t>16,986.3</w:t>
            </w:r>
          </w:p>
        </w:tc>
        <w:tc>
          <w:tcPr>
            <w:tcW w:w="543" w:type="pct"/>
          </w:tcPr>
          <w:p w14:paraId="3145EDE6" w14:textId="77777777" w:rsidR="009A601F" w:rsidRPr="00A25F2C" w:rsidRDefault="009A601F" w:rsidP="009A601F">
            <w:pPr>
              <w:pStyle w:val="TableBodyText"/>
              <w:jc w:val="right"/>
            </w:pPr>
            <w:r w:rsidRPr="00A25F2C">
              <w:t>16,789.5</w:t>
            </w:r>
          </w:p>
        </w:tc>
        <w:tc>
          <w:tcPr>
            <w:tcW w:w="543" w:type="pct"/>
          </w:tcPr>
          <w:p w14:paraId="62C470C3" w14:textId="77777777" w:rsidR="009A601F" w:rsidRPr="00A25F2C" w:rsidRDefault="009A601F" w:rsidP="009A601F">
            <w:pPr>
              <w:pStyle w:val="TableBodyText"/>
              <w:jc w:val="right"/>
            </w:pPr>
            <w:r w:rsidRPr="00A25F2C">
              <w:t>17,649.0</w:t>
            </w:r>
          </w:p>
        </w:tc>
        <w:tc>
          <w:tcPr>
            <w:tcW w:w="543" w:type="pct"/>
          </w:tcPr>
          <w:p w14:paraId="2526CB5F" w14:textId="77777777" w:rsidR="009A601F" w:rsidRPr="00A25F2C" w:rsidRDefault="009A601F" w:rsidP="009A601F">
            <w:pPr>
              <w:pStyle w:val="TableBodyText"/>
              <w:jc w:val="right"/>
            </w:pPr>
            <w:r w:rsidRPr="00A25F2C">
              <w:t>18,313.2</w:t>
            </w:r>
          </w:p>
        </w:tc>
        <w:tc>
          <w:tcPr>
            <w:tcW w:w="543" w:type="pct"/>
          </w:tcPr>
          <w:p w14:paraId="5C54CFE1" w14:textId="77777777" w:rsidR="009A601F" w:rsidRPr="00A25F2C" w:rsidRDefault="009A601F" w:rsidP="009A601F">
            <w:pPr>
              <w:pStyle w:val="TableBodyText"/>
              <w:jc w:val="right"/>
            </w:pPr>
            <w:r w:rsidRPr="00A25F2C">
              <w:t>18,722.6</w:t>
            </w:r>
          </w:p>
        </w:tc>
        <w:tc>
          <w:tcPr>
            <w:tcW w:w="543" w:type="pct"/>
          </w:tcPr>
          <w:p w14:paraId="3CB7D8CF" w14:textId="77777777" w:rsidR="009A601F" w:rsidRPr="00A25F2C" w:rsidRDefault="009A601F" w:rsidP="009A601F">
            <w:pPr>
              <w:pStyle w:val="TableBodyText"/>
              <w:jc w:val="right"/>
            </w:pPr>
            <w:r w:rsidRPr="00A25F2C">
              <w:t>19,722.6</w:t>
            </w:r>
          </w:p>
        </w:tc>
        <w:tc>
          <w:tcPr>
            <w:tcW w:w="543" w:type="pct"/>
          </w:tcPr>
          <w:p w14:paraId="74055084" w14:textId="77777777" w:rsidR="009A601F" w:rsidRPr="00A25F2C" w:rsidRDefault="009A601F" w:rsidP="009A601F">
            <w:pPr>
              <w:pStyle w:val="TableBodyText"/>
              <w:jc w:val="right"/>
            </w:pPr>
            <w:r w:rsidRPr="00A25F2C">
              <w:t>20,995.1</w:t>
            </w:r>
          </w:p>
        </w:tc>
      </w:tr>
      <w:tr w:rsidR="00671EDB" w:rsidRPr="00A25F2C" w14:paraId="12D05074" w14:textId="77777777" w:rsidTr="007467EC">
        <w:tc>
          <w:tcPr>
            <w:tcW w:w="1199" w:type="pct"/>
          </w:tcPr>
          <w:p w14:paraId="07D04951" w14:textId="77777777" w:rsidR="009A601F" w:rsidRPr="00A25F2C" w:rsidRDefault="009A601F" w:rsidP="009A601F">
            <w:pPr>
              <w:pStyle w:val="TableBodyText"/>
            </w:pPr>
            <w:r w:rsidRPr="00A25F2C">
              <w:t>Defined Benefit Plan</w:t>
            </w:r>
          </w:p>
        </w:tc>
        <w:tc>
          <w:tcPr>
            <w:tcW w:w="543" w:type="pct"/>
          </w:tcPr>
          <w:p w14:paraId="5C995D06" w14:textId="77777777" w:rsidR="009A601F" w:rsidRPr="00A25F2C" w:rsidRDefault="009A601F" w:rsidP="009A601F">
            <w:pPr>
              <w:pStyle w:val="TableBodyText"/>
              <w:jc w:val="right"/>
            </w:pPr>
            <w:r w:rsidRPr="00A25F2C">
              <w:t>27.3</w:t>
            </w:r>
          </w:p>
        </w:tc>
        <w:tc>
          <w:tcPr>
            <w:tcW w:w="543" w:type="pct"/>
          </w:tcPr>
          <w:p w14:paraId="02929CA7" w14:textId="77777777" w:rsidR="009A601F" w:rsidRPr="00A25F2C" w:rsidRDefault="009A601F" w:rsidP="009A601F">
            <w:pPr>
              <w:pStyle w:val="TableBodyText"/>
              <w:jc w:val="right"/>
            </w:pPr>
            <w:r w:rsidRPr="00A25F2C">
              <w:t>20.5</w:t>
            </w:r>
          </w:p>
        </w:tc>
        <w:tc>
          <w:tcPr>
            <w:tcW w:w="543" w:type="pct"/>
          </w:tcPr>
          <w:p w14:paraId="4D90749B" w14:textId="77777777" w:rsidR="009A601F" w:rsidRPr="00A25F2C" w:rsidRDefault="009A601F" w:rsidP="009A601F">
            <w:pPr>
              <w:pStyle w:val="TableBodyText"/>
              <w:jc w:val="right"/>
            </w:pPr>
            <w:r w:rsidRPr="00A25F2C">
              <w:t>27.3</w:t>
            </w:r>
          </w:p>
        </w:tc>
        <w:tc>
          <w:tcPr>
            <w:tcW w:w="543" w:type="pct"/>
          </w:tcPr>
          <w:p w14:paraId="39D63228" w14:textId="77777777" w:rsidR="009A601F" w:rsidRPr="00A25F2C" w:rsidRDefault="009A601F" w:rsidP="009A601F">
            <w:pPr>
              <w:pStyle w:val="TableBodyText"/>
              <w:jc w:val="right"/>
            </w:pPr>
            <w:r w:rsidRPr="00A25F2C">
              <w:t>27.3</w:t>
            </w:r>
          </w:p>
        </w:tc>
        <w:tc>
          <w:tcPr>
            <w:tcW w:w="543" w:type="pct"/>
          </w:tcPr>
          <w:p w14:paraId="694EFCD3" w14:textId="77777777" w:rsidR="009A601F" w:rsidRPr="00A25F2C" w:rsidRDefault="009A601F" w:rsidP="009A601F">
            <w:pPr>
              <w:pStyle w:val="TableBodyText"/>
              <w:jc w:val="right"/>
            </w:pPr>
            <w:r w:rsidRPr="00A25F2C">
              <w:t>27.3</w:t>
            </w:r>
          </w:p>
        </w:tc>
        <w:tc>
          <w:tcPr>
            <w:tcW w:w="543" w:type="pct"/>
          </w:tcPr>
          <w:p w14:paraId="164611C2" w14:textId="77777777" w:rsidR="009A601F" w:rsidRPr="00A25F2C" w:rsidRDefault="009A601F" w:rsidP="009A601F">
            <w:pPr>
              <w:pStyle w:val="TableBodyText"/>
              <w:jc w:val="right"/>
            </w:pPr>
            <w:r w:rsidRPr="00A25F2C">
              <w:t>27.3</w:t>
            </w:r>
          </w:p>
        </w:tc>
        <w:tc>
          <w:tcPr>
            <w:tcW w:w="543" w:type="pct"/>
          </w:tcPr>
          <w:p w14:paraId="1923F08F" w14:textId="77777777" w:rsidR="009A601F" w:rsidRPr="00A25F2C" w:rsidRDefault="009A601F" w:rsidP="009A601F">
            <w:pPr>
              <w:pStyle w:val="TableBodyText"/>
              <w:jc w:val="right"/>
            </w:pPr>
            <w:r w:rsidRPr="00A25F2C">
              <w:t>27.3</w:t>
            </w:r>
          </w:p>
        </w:tc>
      </w:tr>
      <w:tr w:rsidR="00671EDB" w:rsidRPr="00A25F2C" w14:paraId="06F89AF9" w14:textId="77777777" w:rsidTr="007467EC">
        <w:tc>
          <w:tcPr>
            <w:tcW w:w="1199" w:type="pct"/>
          </w:tcPr>
          <w:p w14:paraId="5CAB35F3" w14:textId="77777777" w:rsidR="009A601F" w:rsidRPr="00A25F2C" w:rsidRDefault="009A601F" w:rsidP="009A601F">
            <w:pPr>
              <w:pStyle w:val="TableBodyText"/>
            </w:pPr>
            <w:r w:rsidRPr="00A25F2C">
              <w:rPr>
                <w:b/>
              </w:rPr>
              <w:t>Total Non-Current Assets</w:t>
            </w:r>
          </w:p>
        </w:tc>
        <w:tc>
          <w:tcPr>
            <w:tcW w:w="543" w:type="pct"/>
          </w:tcPr>
          <w:p w14:paraId="2F4193E1" w14:textId="77777777" w:rsidR="009A601F" w:rsidRPr="00A25F2C" w:rsidRDefault="009A601F" w:rsidP="009A601F">
            <w:pPr>
              <w:pStyle w:val="TableBodyText"/>
              <w:jc w:val="right"/>
            </w:pPr>
            <w:r w:rsidRPr="00A25F2C">
              <w:rPr>
                <w:b/>
              </w:rPr>
              <w:t>17,013.6</w:t>
            </w:r>
          </w:p>
        </w:tc>
        <w:tc>
          <w:tcPr>
            <w:tcW w:w="543" w:type="pct"/>
          </w:tcPr>
          <w:p w14:paraId="01D2E819" w14:textId="77777777" w:rsidR="009A601F" w:rsidRPr="00A25F2C" w:rsidRDefault="009A601F" w:rsidP="009A601F">
            <w:pPr>
              <w:pStyle w:val="TableBodyText"/>
              <w:jc w:val="right"/>
            </w:pPr>
            <w:r w:rsidRPr="00A25F2C">
              <w:rPr>
                <w:b/>
              </w:rPr>
              <w:t>16,810.0</w:t>
            </w:r>
          </w:p>
        </w:tc>
        <w:tc>
          <w:tcPr>
            <w:tcW w:w="543" w:type="pct"/>
          </w:tcPr>
          <w:p w14:paraId="131EB3E4" w14:textId="77777777" w:rsidR="009A601F" w:rsidRPr="00A25F2C" w:rsidRDefault="009A601F" w:rsidP="009A601F">
            <w:pPr>
              <w:pStyle w:val="TableBodyText"/>
              <w:jc w:val="right"/>
            </w:pPr>
            <w:r w:rsidRPr="00A25F2C">
              <w:rPr>
                <w:b/>
              </w:rPr>
              <w:t>17,676.3</w:t>
            </w:r>
          </w:p>
        </w:tc>
        <w:tc>
          <w:tcPr>
            <w:tcW w:w="543" w:type="pct"/>
          </w:tcPr>
          <w:p w14:paraId="1BE7FD23" w14:textId="77777777" w:rsidR="009A601F" w:rsidRPr="00A25F2C" w:rsidRDefault="009A601F" w:rsidP="009A601F">
            <w:pPr>
              <w:pStyle w:val="TableBodyText"/>
              <w:jc w:val="right"/>
            </w:pPr>
            <w:r w:rsidRPr="00A25F2C">
              <w:rPr>
                <w:b/>
              </w:rPr>
              <w:t>18,340.5</w:t>
            </w:r>
          </w:p>
        </w:tc>
        <w:tc>
          <w:tcPr>
            <w:tcW w:w="543" w:type="pct"/>
          </w:tcPr>
          <w:p w14:paraId="2DE6E0E3" w14:textId="77777777" w:rsidR="009A601F" w:rsidRPr="00A25F2C" w:rsidRDefault="009A601F" w:rsidP="009A601F">
            <w:pPr>
              <w:pStyle w:val="TableBodyText"/>
              <w:jc w:val="right"/>
            </w:pPr>
            <w:r w:rsidRPr="00A25F2C">
              <w:rPr>
                <w:b/>
              </w:rPr>
              <w:t>18,749.9</w:t>
            </w:r>
          </w:p>
        </w:tc>
        <w:tc>
          <w:tcPr>
            <w:tcW w:w="543" w:type="pct"/>
          </w:tcPr>
          <w:p w14:paraId="0D4E2EA6" w14:textId="77777777" w:rsidR="009A601F" w:rsidRPr="00A25F2C" w:rsidRDefault="009A601F" w:rsidP="009A601F">
            <w:pPr>
              <w:pStyle w:val="TableBodyText"/>
              <w:jc w:val="right"/>
            </w:pPr>
            <w:r w:rsidRPr="00A25F2C">
              <w:rPr>
                <w:b/>
              </w:rPr>
              <w:t>19,749.9</w:t>
            </w:r>
          </w:p>
        </w:tc>
        <w:tc>
          <w:tcPr>
            <w:tcW w:w="543" w:type="pct"/>
          </w:tcPr>
          <w:p w14:paraId="0B60430A" w14:textId="77777777" w:rsidR="009A601F" w:rsidRPr="00A25F2C" w:rsidRDefault="009A601F" w:rsidP="009A601F">
            <w:pPr>
              <w:pStyle w:val="TableBodyText"/>
              <w:jc w:val="right"/>
              <w:rPr>
                <w:b/>
              </w:rPr>
            </w:pPr>
            <w:r w:rsidRPr="00A25F2C">
              <w:rPr>
                <w:b/>
              </w:rPr>
              <w:t>21,022.4</w:t>
            </w:r>
          </w:p>
        </w:tc>
      </w:tr>
      <w:tr w:rsidR="00671EDB" w:rsidRPr="00A25F2C" w14:paraId="4869EF19" w14:textId="77777777" w:rsidTr="007467EC">
        <w:tc>
          <w:tcPr>
            <w:tcW w:w="1199" w:type="pct"/>
          </w:tcPr>
          <w:p w14:paraId="0A5DE8C0" w14:textId="0879EC0A" w:rsidR="009A601F" w:rsidRPr="00A25F2C" w:rsidRDefault="00E65500" w:rsidP="009A601F">
            <w:pPr>
              <w:pStyle w:val="TableBodyText"/>
            </w:pPr>
            <w:r w:rsidRPr="00A25F2C">
              <w:rPr>
                <w:b/>
              </w:rPr>
              <w:t>Total Assets</w:t>
            </w:r>
          </w:p>
        </w:tc>
        <w:tc>
          <w:tcPr>
            <w:tcW w:w="543" w:type="pct"/>
          </w:tcPr>
          <w:p w14:paraId="4FB6BA42" w14:textId="77777777" w:rsidR="009A601F" w:rsidRPr="00A25F2C" w:rsidRDefault="009A601F" w:rsidP="009A601F">
            <w:pPr>
              <w:pStyle w:val="TableBodyText"/>
              <w:jc w:val="right"/>
            </w:pPr>
            <w:r w:rsidRPr="00A25F2C">
              <w:rPr>
                <w:b/>
              </w:rPr>
              <w:t>17,128.6</w:t>
            </w:r>
          </w:p>
        </w:tc>
        <w:tc>
          <w:tcPr>
            <w:tcW w:w="543" w:type="pct"/>
          </w:tcPr>
          <w:p w14:paraId="30144BC5" w14:textId="77777777" w:rsidR="009A601F" w:rsidRPr="00A25F2C" w:rsidRDefault="009A601F" w:rsidP="009A601F">
            <w:pPr>
              <w:pStyle w:val="TableBodyText"/>
              <w:jc w:val="right"/>
            </w:pPr>
            <w:r w:rsidRPr="00A25F2C">
              <w:rPr>
                <w:b/>
              </w:rPr>
              <w:t>16,913.6</w:t>
            </w:r>
          </w:p>
        </w:tc>
        <w:tc>
          <w:tcPr>
            <w:tcW w:w="543" w:type="pct"/>
          </w:tcPr>
          <w:p w14:paraId="15AB9D96" w14:textId="77777777" w:rsidR="009A601F" w:rsidRPr="00A25F2C" w:rsidRDefault="009A601F" w:rsidP="009A601F">
            <w:pPr>
              <w:pStyle w:val="TableBodyText"/>
              <w:jc w:val="right"/>
            </w:pPr>
            <w:r w:rsidRPr="00A25F2C">
              <w:rPr>
                <w:b/>
              </w:rPr>
              <w:t>17,796.8</w:t>
            </w:r>
          </w:p>
        </w:tc>
        <w:tc>
          <w:tcPr>
            <w:tcW w:w="543" w:type="pct"/>
          </w:tcPr>
          <w:p w14:paraId="73C92EDF" w14:textId="77777777" w:rsidR="009A601F" w:rsidRPr="00A25F2C" w:rsidRDefault="009A601F" w:rsidP="009A601F">
            <w:pPr>
              <w:pStyle w:val="TableBodyText"/>
              <w:jc w:val="right"/>
            </w:pPr>
            <w:r w:rsidRPr="00A25F2C">
              <w:rPr>
                <w:b/>
              </w:rPr>
              <w:t>18,463.2</w:t>
            </w:r>
          </w:p>
        </w:tc>
        <w:tc>
          <w:tcPr>
            <w:tcW w:w="543" w:type="pct"/>
          </w:tcPr>
          <w:p w14:paraId="081827BD" w14:textId="77777777" w:rsidR="009A601F" w:rsidRPr="00A25F2C" w:rsidRDefault="009A601F" w:rsidP="009A601F">
            <w:pPr>
              <w:pStyle w:val="TableBodyText"/>
              <w:jc w:val="right"/>
            </w:pPr>
            <w:r w:rsidRPr="00A25F2C">
              <w:rPr>
                <w:b/>
              </w:rPr>
              <w:t>18,870.6</w:t>
            </w:r>
          </w:p>
        </w:tc>
        <w:tc>
          <w:tcPr>
            <w:tcW w:w="543" w:type="pct"/>
          </w:tcPr>
          <w:p w14:paraId="21B9218E" w14:textId="77777777" w:rsidR="009A601F" w:rsidRPr="00A25F2C" w:rsidRDefault="009A601F" w:rsidP="009A601F">
            <w:pPr>
              <w:pStyle w:val="TableBodyText"/>
              <w:jc w:val="right"/>
            </w:pPr>
            <w:r w:rsidRPr="00A25F2C">
              <w:rPr>
                <w:b/>
              </w:rPr>
              <w:t>19,875.9</w:t>
            </w:r>
          </w:p>
        </w:tc>
        <w:tc>
          <w:tcPr>
            <w:tcW w:w="543" w:type="pct"/>
          </w:tcPr>
          <w:p w14:paraId="5648F849" w14:textId="77777777" w:rsidR="009A601F" w:rsidRPr="00A25F2C" w:rsidRDefault="009A601F" w:rsidP="009A601F">
            <w:pPr>
              <w:pStyle w:val="TableBodyText"/>
              <w:jc w:val="right"/>
              <w:rPr>
                <w:b/>
              </w:rPr>
            </w:pPr>
            <w:r w:rsidRPr="00A25F2C">
              <w:rPr>
                <w:b/>
              </w:rPr>
              <w:t>21,151.8</w:t>
            </w:r>
          </w:p>
        </w:tc>
      </w:tr>
      <w:tr w:rsidR="00335623" w:rsidRPr="00A25F2C" w14:paraId="59282489" w14:textId="77777777" w:rsidTr="007467EC">
        <w:tc>
          <w:tcPr>
            <w:tcW w:w="1199" w:type="pct"/>
          </w:tcPr>
          <w:p w14:paraId="23065F1C" w14:textId="77777777" w:rsidR="00335623" w:rsidRPr="00A25F2C" w:rsidRDefault="00335623" w:rsidP="00335623">
            <w:pPr>
              <w:pStyle w:val="TableBodyText"/>
              <w:rPr>
                <w:b/>
              </w:rPr>
            </w:pPr>
            <w:r w:rsidRPr="00A25F2C">
              <w:rPr>
                <w:b/>
              </w:rPr>
              <w:t>Current Liabilities</w:t>
            </w:r>
          </w:p>
        </w:tc>
        <w:tc>
          <w:tcPr>
            <w:tcW w:w="543" w:type="pct"/>
          </w:tcPr>
          <w:p w14:paraId="467B8485" w14:textId="30E2793F" w:rsidR="00335623" w:rsidRPr="00A25F2C" w:rsidRDefault="00995D31" w:rsidP="00335623">
            <w:pPr>
              <w:spacing w:before="0" w:after="0"/>
              <w:jc w:val="right"/>
            </w:pPr>
            <w:r>
              <w:t>N/A</w:t>
            </w:r>
          </w:p>
        </w:tc>
        <w:tc>
          <w:tcPr>
            <w:tcW w:w="543" w:type="pct"/>
          </w:tcPr>
          <w:p w14:paraId="190807D6" w14:textId="1A2D793B" w:rsidR="00335623" w:rsidRPr="00A25F2C" w:rsidRDefault="00995D31" w:rsidP="00335623">
            <w:pPr>
              <w:pStyle w:val="TableBodyText"/>
              <w:jc w:val="right"/>
            </w:pPr>
            <w:r>
              <w:t>N/A</w:t>
            </w:r>
          </w:p>
        </w:tc>
        <w:tc>
          <w:tcPr>
            <w:tcW w:w="543" w:type="pct"/>
          </w:tcPr>
          <w:p w14:paraId="642152B0" w14:textId="0F9E303F" w:rsidR="00335623" w:rsidRPr="00A25F2C" w:rsidRDefault="00995D31" w:rsidP="00335623">
            <w:pPr>
              <w:pStyle w:val="TableBodyText"/>
              <w:jc w:val="right"/>
            </w:pPr>
            <w:r>
              <w:t>N/A</w:t>
            </w:r>
          </w:p>
        </w:tc>
        <w:tc>
          <w:tcPr>
            <w:tcW w:w="543" w:type="pct"/>
          </w:tcPr>
          <w:p w14:paraId="6D6E21BF" w14:textId="177ACCF6" w:rsidR="00335623" w:rsidRPr="00A25F2C" w:rsidRDefault="00995D31" w:rsidP="00335623">
            <w:pPr>
              <w:pStyle w:val="TableBodyText"/>
              <w:jc w:val="right"/>
            </w:pPr>
            <w:r>
              <w:t>N/A</w:t>
            </w:r>
          </w:p>
        </w:tc>
        <w:tc>
          <w:tcPr>
            <w:tcW w:w="543" w:type="pct"/>
          </w:tcPr>
          <w:p w14:paraId="3511873C" w14:textId="24D69DA8" w:rsidR="00335623" w:rsidRPr="00A25F2C" w:rsidRDefault="00995D31" w:rsidP="00335623">
            <w:pPr>
              <w:pStyle w:val="TableBodyText"/>
              <w:jc w:val="right"/>
            </w:pPr>
            <w:r>
              <w:t>N/A</w:t>
            </w:r>
          </w:p>
        </w:tc>
        <w:tc>
          <w:tcPr>
            <w:tcW w:w="543" w:type="pct"/>
          </w:tcPr>
          <w:p w14:paraId="7C7DE388" w14:textId="1E0D7288" w:rsidR="00335623" w:rsidRPr="00A25F2C" w:rsidRDefault="00995D31" w:rsidP="00335623">
            <w:pPr>
              <w:pStyle w:val="TableBodyText"/>
              <w:jc w:val="right"/>
            </w:pPr>
            <w:r>
              <w:t>N/A</w:t>
            </w:r>
          </w:p>
        </w:tc>
        <w:tc>
          <w:tcPr>
            <w:tcW w:w="543" w:type="pct"/>
          </w:tcPr>
          <w:p w14:paraId="0B97C9DF" w14:textId="74E8DE7E" w:rsidR="00335623" w:rsidRPr="00A25F2C" w:rsidRDefault="00995D31" w:rsidP="00335623">
            <w:pPr>
              <w:pStyle w:val="TableBodyText"/>
              <w:jc w:val="right"/>
            </w:pPr>
            <w:r>
              <w:t>N/A</w:t>
            </w:r>
          </w:p>
        </w:tc>
      </w:tr>
      <w:tr w:rsidR="00671EDB" w:rsidRPr="00A25F2C" w14:paraId="3E691281" w14:textId="77777777" w:rsidTr="007467EC">
        <w:tc>
          <w:tcPr>
            <w:tcW w:w="1199" w:type="pct"/>
          </w:tcPr>
          <w:p w14:paraId="740E8245" w14:textId="77777777" w:rsidR="009A601F" w:rsidRPr="00A25F2C" w:rsidRDefault="009A601F" w:rsidP="009A601F">
            <w:pPr>
              <w:pStyle w:val="TableBodyText"/>
            </w:pPr>
            <w:r w:rsidRPr="00A25F2C">
              <w:t>Trade Payables</w:t>
            </w:r>
          </w:p>
        </w:tc>
        <w:tc>
          <w:tcPr>
            <w:tcW w:w="543" w:type="pct"/>
          </w:tcPr>
          <w:p w14:paraId="6BA87D7C" w14:textId="77777777" w:rsidR="009A601F" w:rsidRPr="00A25F2C" w:rsidRDefault="009A601F" w:rsidP="009A601F">
            <w:pPr>
              <w:pStyle w:val="TableBodyText"/>
              <w:jc w:val="right"/>
            </w:pPr>
            <w:r w:rsidRPr="00A25F2C">
              <w:t>(58.2)</w:t>
            </w:r>
          </w:p>
        </w:tc>
        <w:tc>
          <w:tcPr>
            <w:tcW w:w="543" w:type="pct"/>
          </w:tcPr>
          <w:p w14:paraId="39E2F7F5" w14:textId="77777777" w:rsidR="009A601F" w:rsidRPr="00A25F2C" w:rsidRDefault="009A601F" w:rsidP="009A601F">
            <w:pPr>
              <w:pStyle w:val="TableBodyText"/>
              <w:jc w:val="right"/>
            </w:pPr>
            <w:r w:rsidRPr="00A25F2C">
              <w:t>(50.7)</w:t>
            </w:r>
          </w:p>
        </w:tc>
        <w:tc>
          <w:tcPr>
            <w:tcW w:w="543" w:type="pct"/>
          </w:tcPr>
          <w:p w14:paraId="534F39DC" w14:textId="77777777" w:rsidR="009A601F" w:rsidRPr="00A25F2C" w:rsidRDefault="009A601F" w:rsidP="009A601F">
            <w:pPr>
              <w:pStyle w:val="TableBodyText"/>
              <w:jc w:val="right"/>
            </w:pPr>
            <w:r w:rsidRPr="00A25F2C">
              <w:t>(48.4)</w:t>
            </w:r>
          </w:p>
        </w:tc>
        <w:tc>
          <w:tcPr>
            <w:tcW w:w="543" w:type="pct"/>
          </w:tcPr>
          <w:p w14:paraId="216B8E2E" w14:textId="77777777" w:rsidR="009A601F" w:rsidRPr="00A25F2C" w:rsidRDefault="009A601F" w:rsidP="009A601F">
            <w:pPr>
              <w:pStyle w:val="TableBodyText"/>
              <w:jc w:val="right"/>
            </w:pPr>
            <w:r w:rsidRPr="00A25F2C">
              <w:t>(51.1)</w:t>
            </w:r>
          </w:p>
        </w:tc>
        <w:tc>
          <w:tcPr>
            <w:tcW w:w="543" w:type="pct"/>
          </w:tcPr>
          <w:p w14:paraId="363A4BB6" w14:textId="77777777" w:rsidR="009A601F" w:rsidRPr="00A25F2C" w:rsidRDefault="009A601F" w:rsidP="009A601F">
            <w:pPr>
              <w:pStyle w:val="TableBodyText"/>
              <w:jc w:val="right"/>
            </w:pPr>
            <w:r w:rsidRPr="00A25F2C">
              <w:t>(42.7)</w:t>
            </w:r>
          </w:p>
        </w:tc>
        <w:tc>
          <w:tcPr>
            <w:tcW w:w="543" w:type="pct"/>
          </w:tcPr>
          <w:p w14:paraId="75774627" w14:textId="77777777" w:rsidR="009A601F" w:rsidRPr="00A25F2C" w:rsidRDefault="009A601F" w:rsidP="009A601F">
            <w:pPr>
              <w:pStyle w:val="TableBodyText"/>
              <w:jc w:val="right"/>
            </w:pPr>
            <w:r w:rsidRPr="00A25F2C">
              <w:t>(48.3)</w:t>
            </w:r>
          </w:p>
        </w:tc>
        <w:tc>
          <w:tcPr>
            <w:tcW w:w="543" w:type="pct"/>
          </w:tcPr>
          <w:p w14:paraId="7BCB397B" w14:textId="77777777" w:rsidR="009A601F" w:rsidRPr="00A25F2C" w:rsidRDefault="009A601F" w:rsidP="009A601F">
            <w:pPr>
              <w:pStyle w:val="TableBodyText"/>
              <w:jc w:val="right"/>
            </w:pPr>
            <w:r w:rsidRPr="00A25F2C">
              <w:t>(52.3)</w:t>
            </w:r>
          </w:p>
        </w:tc>
      </w:tr>
      <w:tr w:rsidR="00671EDB" w:rsidRPr="00A25F2C" w14:paraId="2DF319E4" w14:textId="77777777" w:rsidTr="007467EC">
        <w:tc>
          <w:tcPr>
            <w:tcW w:w="1199" w:type="pct"/>
          </w:tcPr>
          <w:p w14:paraId="5FF7AB37" w14:textId="77777777" w:rsidR="009A601F" w:rsidRPr="00A25F2C" w:rsidRDefault="009A601F" w:rsidP="009A601F">
            <w:pPr>
              <w:pStyle w:val="TableBodyText"/>
            </w:pPr>
            <w:r w:rsidRPr="00A25F2C">
              <w:t>Other Payables</w:t>
            </w:r>
          </w:p>
        </w:tc>
        <w:tc>
          <w:tcPr>
            <w:tcW w:w="543" w:type="pct"/>
          </w:tcPr>
          <w:p w14:paraId="3B703A57" w14:textId="77777777" w:rsidR="009A601F" w:rsidRPr="00A25F2C" w:rsidRDefault="009A601F" w:rsidP="009A601F">
            <w:pPr>
              <w:pStyle w:val="TableBodyText"/>
              <w:jc w:val="right"/>
            </w:pPr>
            <w:r w:rsidRPr="00A25F2C">
              <w:t>(45.3)</w:t>
            </w:r>
          </w:p>
        </w:tc>
        <w:tc>
          <w:tcPr>
            <w:tcW w:w="543" w:type="pct"/>
          </w:tcPr>
          <w:p w14:paraId="5B7B01E2" w14:textId="77777777" w:rsidR="009A601F" w:rsidRPr="00A25F2C" w:rsidRDefault="009A601F" w:rsidP="009A601F">
            <w:pPr>
              <w:pStyle w:val="TableBodyText"/>
              <w:jc w:val="right"/>
            </w:pPr>
            <w:r w:rsidRPr="00A25F2C">
              <w:t>(22.1)</w:t>
            </w:r>
          </w:p>
        </w:tc>
        <w:tc>
          <w:tcPr>
            <w:tcW w:w="543" w:type="pct"/>
          </w:tcPr>
          <w:p w14:paraId="1904129F" w14:textId="77777777" w:rsidR="009A601F" w:rsidRPr="00A25F2C" w:rsidRDefault="009A601F" w:rsidP="009A601F">
            <w:pPr>
              <w:pStyle w:val="TableBodyText"/>
              <w:jc w:val="right"/>
            </w:pPr>
            <w:r w:rsidRPr="00A25F2C">
              <w:t>(33.7)</w:t>
            </w:r>
          </w:p>
        </w:tc>
        <w:tc>
          <w:tcPr>
            <w:tcW w:w="543" w:type="pct"/>
          </w:tcPr>
          <w:p w14:paraId="4C4B173B" w14:textId="77777777" w:rsidR="009A601F" w:rsidRPr="00A25F2C" w:rsidRDefault="009A601F" w:rsidP="009A601F">
            <w:pPr>
              <w:pStyle w:val="TableBodyText"/>
              <w:jc w:val="right"/>
            </w:pPr>
            <w:r w:rsidRPr="00A25F2C">
              <w:t>(33.7)</w:t>
            </w:r>
          </w:p>
        </w:tc>
        <w:tc>
          <w:tcPr>
            <w:tcW w:w="543" w:type="pct"/>
          </w:tcPr>
          <w:p w14:paraId="77C7187C" w14:textId="77777777" w:rsidR="009A601F" w:rsidRPr="00A25F2C" w:rsidRDefault="009A601F" w:rsidP="009A601F">
            <w:pPr>
              <w:pStyle w:val="TableBodyText"/>
              <w:jc w:val="right"/>
            </w:pPr>
            <w:r w:rsidRPr="00A25F2C">
              <w:t>(33.7)</w:t>
            </w:r>
          </w:p>
        </w:tc>
        <w:tc>
          <w:tcPr>
            <w:tcW w:w="543" w:type="pct"/>
          </w:tcPr>
          <w:p w14:paraId="2C033606" w14:textId="77777777" w:rsidR="009A601F" w:rsidRPr="00A25F2C" w:rsidRDefault="009A601F" w:rsidP="009A601F">
            <w:pPr>
              <w:pStyle w:val="TableBodyText"/>
              <w:jc w:val="right"/>
            </w:pPr>
            <w:r w:rsidRPr="00A25F2C">
              <w:t>(33.7)</w:t>
            </w:r>
          </w:p>
        </w:tc>
        <w:tc>
          <w:tcPr>
            <w:tcW w:w="543" w:type="pct"/>
          </w:tcPr>
          <w:p w14:paraId="123C4A17" w14:textId="77777777" w:rsidR="009A601F" w:rsidRPr="00A25F2C" w:rsidRDefault="009A601F" w:rsidP="009A601F">
            <w:pPr>
              <w:pStyle w:val="TableBodyText"/>
              <w:jc w:val="right"/>
            </w:pPr>
            <w:r w:rsidRPr="00A25F2C">
              <w:t>(33.7)</w:t>
            </w:r>
          </w:p>
        </w:tc>
      </w:tr>
      <w:tr w:rsidR="00671EDB" w:rsidRPr="00A25F2C" w14:paraId="2BCEF209" w14:textId="77777777" w:rsidTr="007467EC">
        <w:tc>
          <w:tcPr>
            <w:tcW w:w="1199" w:type="pct"/>
          </w:tcPr>
          <w:p w14:paraId="623508E2" w14:textId="77777777" w:rsidR="009A601F" w:rsidRPr="00A25F2C" w:rsidRDefault="009A601F" w:rsidP="009A601F">
            <w:pPr>
              <w:pStyle w:val="TableBodyText"/>
            </w:pPr>
            <w:r w:rsidRPr="00A25F2C">
              <w:t>Provision for Interest</w:t>
            </w:r>
          </w:p>
        </w:tc>
        <w:tc>
          <w:tcPr>
            <w:tcW w:w="543" w:type="pct"/>
          </w:tcPr>
          <w:p w14:paraId="27A2A3C4" w14:textId="77777777" w:rsidR="009A601F" w:rsidRPr="00A25F2C" w:rsidRDefault="009A601F" w:rsidP="009A601F">
            <w:pPr>
              <w:pStyle w:val="TableBodyText"/>
              <w:jc w:val="right"/>
            </w:pPr>
            <w:r w:rsidRPr="00A25F2C">
              <w:t>(45.5)</w:t>
            </w:r>
          </w:p>
        </w:tc>
        <w:tc>
          <w:tcPr>
            <w:tcW w:w="543" w:type="pct"/>
          </w:tcPr>
          <w:p w14:paraId="25714BA1" w14:textId="77777777" w:rsidR="009A601F" w:rsidRPr="00A25F2C" w:rsidRDefault="009A601F" w:rsidP="009A601F">
            <w:pPr>
              <w:pStyle w:val="TableBodyText"/>
              <w:jc w:val="right"/>
            </w:pPr>
            <w:r w:rsidRPr="00A25F2C">
              <w:t>(43.7)</w:t>
            </w:r>
          </w:p>
        </w:tc>
        <w:tc>
          <w:tcPr>
            <w:tcW w:w="543" w:type="pct"/>
          </w:tcPr>
          <w:p w14:paraId="066F2686" w14:textId="77777777" w:rsidR="009A601F" w:rsidRPr="00A25F2C" w:rsidRDefault="009A601F" w:rsidP="009A601F">
            <w:pPr>
              <w:pStyle w:val="TableBodyText"/>
              <w:jc w:val="right"/>
            </w:pPr>
            <w:r w:rsidRPr="00A25F2C">
              <w:t>(61.4)</w:t>
            </w:r>
          </w:p>
        </w:tc>
        <w:tc>
          <w:tcPr>
            <w:tcW w:w="543" w:type="pct"/>
          </w:tcPr>
          <w:p w14:paraId="71259DA5" w14:textId="77777777" w:rsidR="009A601F" w:rsidRPr="00A25F2C" w:rsidRDefault="009A601F" w:rsidP="009A601F">
            <w:pPr>
              <w:pStyle w:val="TableBodyText"/>
              <w:jc w:val="right"/>
            </w:pPr>
            <w:r w:rsidRPr="00A25F2C">
              <w:t>(73.5)</w:t>
            </w:r>
          </w:p>
        </w:tc>
        <w:tc>
          <w:tcPr>
            <w:tcW w:w="543" w:type="pct"/>
          </w:tcPr>
          <w:p w14:paraId="4B1DC145" w14:textId="77777777" w:rsidR="009A601F" w:rsidRPr="00A25F2C" w:rsidRDefault="009A601F" w:rsidP="009A601F">
            <w:pPr>
              <w:pStyle w:val="TableBodyText"/>
              <w:jc w:val="right"/>
            </w:pPr>
            <w:r w:rsidRPr="00A25F2C">
              <w:t>(81.3)</w:t>
            </w:r>
          </w:p>
        </w:tc>
        <w:tc>
          <w:tcPr>
            <w:tcW w:w="543" w:type="pct"/>
          </w:tcPr>
          <w:p w14:paraId="4F8C577F" w14:textId="77777777" w:rsidR="009A601F" w:rsidRPr="00A25F2C" w:rsidRDefault="009A601F" w:rsidP="009A601F">
            <w:pPr>
              <w:pStyle w:val="TableBodyText"/>
              <w:jc w:val="right"/>
            </w:pPr>
            <w:r w:rsidRPr="00A25F2C">
              <w:t>(95.7)</w:t>
            </w:r>
          </w:p>
        </w:tc>
        <w:tc>
          <w:tcPr>
            <w:tcW w:w="543" w:type="pct"/>
          </w:tcPr>
          <w:p w14:paraId="56057E66" w14:textId="77777777" w:rsidR="009A601F" w:rsidRPr="00A25F2C" w:rsidRDefault="009A601F" w:rsidP="009A601F">
            <w:pPr>
              <w:pStyle w:val="TableBodyText"/>
              <w:jc w:val="right"/>
            </w:pPr>
            <w:r w:rsidRPr="00A25F2C">
              <w:t>(114.6)</w:t>
            </w:r>
          </w:p>
        </w:tc>
      </w:tr>
      <w:tr w:rsidR="00671EDB" w:rsidRPr="00A25F2C" w14:paraId="2DC4767E" w14:textId="77777777" w:rsidTr="007467EC">
        <w:tc>
          <w:tcPr>
            <w:tcW w:w="1199" w:type="pct"/>
          </w:tcPr>
          <w:p w14:paraId="3D281B16" w14:textId="77777777" w:rsidR="009A601F" w:rsidRPr="00A25F2C" w:rsidRDefault="009A601F" w:rsidP="009A601F">
            <w:pPr>
              <w:pStyle w:val="TableBodyText"/>
            </w:pPr>
            <w:r w:rsidRPr="00A25F2C">
              <w:t>Accruals</w:t>
            </w:r>
          </w:p>
        </w:tc>
        <w:tc>
          <w:tcPr>
            <w:tcW w:w="543" w:type="pct"/>
          </w:tcPr>
          <w:p w14:paraId="46A3F056" w14:textId="77777777" w:rsidR="009A601F" w:rsidRPr="00A25F2C" w:rsidRDefault="009A601F" w:rsidP="009A601F">
            <w:pPr>
              <w:pStyle w:val="TableBodyText"/>
              <w:jc w:val="right"/>
            </w:pPr>
            <w:r w:rsidRPr="00A25F2C">
              <w:t>(282.1)</w:t>
            </w:r>
          </w:p>
        </w:tc>
        <w:tc>
          <w:tcPr>
            <w:tcW w:w="543" w:type="pct"/>
          </w:tcPr>
          <w:p w14:paraId="1A47E8D0" w14:textId="77777777" w:rsidR="009A601F" w:rsidRPr="00A25F2C" w:rsidRDefault="009A601F" w:rsidP="009A601F">
            <w:pPr>
              <w:pStyle w:val="TableBodyText"/>
              <w:jc w:val="right"/>
            </w:pPr>
            <w:r w:rsidRPr="00A25F2C">
              <w:t>(225.3)</w:t>
            </w:r>
          </w:p>
        </w:tc>
        <w:tc>
          <w:tcPr>
            <w:tcW w:w="543" w:type="pct"/>
          </w:tcPr>
          <w:p w14:paraId="53BB37AC" w14:textId="77777777" w:rsidR="009A601F" w:rsidRPr="00A25F2C" w:rsidRDefault="009A601F" w:rsidP="009A601F">
            <w:pPr>
              <w:pStyle w:val="TableBodyText"/>
              <w:jc w:val="right"/>
            </w:pPr>
            <w:r w:rsidRPr="00A25F2C">
              <w:t>(249.9)</w:t>
            </w:r>
          </w:p>
        </w:tc>
        <w:tc>
          <w:tcPr>
            <w:tcW w:w="543" w:type="pct"/>
          </w:tcPr>
          <w:p w14:paraId="50539F98" w14:textId="77777777" w:rsidR="009A601F" w:rsidRPr="00A25F2C" w:rsidRDefault="009A601F" w:rsidP="009A601F">
            <w:pPr>
              <w:pStyle w:val="TableBodyText"/>
              <w:jc w:val="right"/>
            </w:pPr>
            <w:r w:rsidRPr="00A25F2C">
              <w:t>(259.0)</w:t>
            </w:r>
          </w:p>
        </w:tc>
        <w:tc>
          <w:tcPr>
            <w:tcW w:w="543" w:type="pct"/>
          </w:tcPr>
          <w:p w14:paraId="331E6974" w14:textId="77777777" w:rsidR="009A601F" w:rsidRPr="00A25F2C" w:rsidRDefault="009A601F" w:rsidP="009A601F">
            <w:pPr>
              <w:pStyle w:val="TableBodyText"/>
              <w:jc w:val="right"/>
            </w:pPr>
            <w:r w:rsidRPr="00A25F2C">
              <w:t>(241.4)</w:t>
            </w:r>
          </w:p>
        </w:tc>
        <w:tc>
          <w:tcPr>
            <w:tcW w:w="543" w:type="pct"/>
          </w:tcPr>
          <w:p w14:paraId="30C05BD0" w14:textId="77777777" w:rsidR="009A601F" w:rsidRPr="00A25F2C" w:rsidRDefault="009A601F" w:rsidP="009A601F">
            <w:pPr>
              <w:pStyle w:val="TableBodyText"/>
              <w:jc w:val="right"/>
            </w:pPr>
            <w:r w:rsidRPr="00A25F2C">
              <w:t>(297.5)</w:t>
            </w:r>
          </w:p>
        </w:tc>
        <w:tc>
          <w:tcPr>
            <w:tcW w:w="543" w:type="pct"/>
          </w:tcPr>
          <w:p w14:paraId="5E8EF7C7" w14:textId="77777777" w:rsidR="009A601F" w:rsidRPr="00A25F2C" w:rsidRDefault="009A601F" w:rsidP="009A601F">
            <w:pPr>
              <w:pStyle w:val="TableBodyText"/>
              <w:jc w:val="right"/>
            </w:pPr>
            <w:r w:rsidRPr="00A25F2C">
              <w:t>(328.8)</w:t>
            </w:r>
          </w:p>
        </w:tc>
      </w:tr>
      <w:tr w:rsidR="00671EDB" w:rsidRPr="00A25F2C" w14:paraId="388BADAE" w14:textId="77777777" w:rsidTr="007467EC">
        <w:tc>
          <w:tcPr>
            <w:tcW w:w="1199" w:type="pct"/>
          </w:tcPr>
          <w:p w14:paraId="65029A82" w14:textId="77777777" w:rsidR="009A601F" w:rsidRPr="00A25F2C" w:rsidRDefault="009A601F" w:rsidP="009A601F">
            <w:pPr>
              <w:pStyle w:val="TableBodyText"/>
            </w:pPr>
            <w:r w:rsidRPr="00A25F2C">
              <w:t>Unearned Developer Contributions</w:t>
            </w:r>
          </w:p>
        </w:tc>
        <w:tc>
          <w:tcPr>
            <w:tcW w:w="543" w:type="pct"/>
          </w:tcPr>
          <w:p w14:paraId="2FEE6C28" w14:textId="77777777" w:rsidR="009A601F" w:rsidRPr="00A25F2C" w:rsidRDefault="009A601F" w:rsidP="009A601F">
            <w:pPr>
              <w:pStyle w:val="TableBodyText"/>
              <w:jc w:val="right"/>
            </w:pPr>
            <w:r w:rsidRPr="00A25F2C">
              <w:t>(92.5)</w:t>
            </w:r>
          </w:p>
        </w:tc>
        <w:tc>
          <w:tcPr>
            <w:tcW w:w="543" w:type="pct"/>
          </w:tcPr>
          <w:p w14:paraId="68B808D4" w14:textId="77777777" w:rsidR="009A601F" w:rsidRPr="00A25F2C" w:rsidRDefault="009A601F" w:rsidP="009A601F">
            <w:pPr>
              <w:pStyle w:val="TableBodyText"/>
              <w:jc w:val="right"/>
            </w:pPr>
            <w:r w:rsidRPr="00A25F2C">
              <w:t>(76.5)</w:t>
            </w:r>
          </w:p>
        </w:tc>
        <w:tc>
          <w:tcPr>
            <w:tcW w:w="543" w:type="pct"/>
          </w:tcPr>
          <w:p w14:paraId="7737A619" w14:textId="77777777" w:rsidR="009A601F" w:rsidRPr="00A25F2C" w:rsidRDefault="009A601F" w:rsidP="009A601F">
            <w:pPr>
              <w:pStyle w:val="TableBodyText"/>
              <w:jc w:val="right"/>
            </w:pPr>
            <w:r w:rsidRPr="00A25F2C">
              <w:t>(92.5)</w:t>
            </w:r>
          </w:p>
        </w:tc>
        <w:tc>
          <w:tcPr>
            <w:tcW w:w="543" w:type="pct"/>
          </w:tcPr>
          <w:p w14:paraId="2CEBFB4E" w14:textId="77777777" w:rsidR="009A601F" w:rsidRPr="00A25F2C" w:rsidRDefault="009A601F" w:rsidP="009A601F">
            <w:pPr>
              <w:pStyle w:val="TableBodyText"/>
              <w:jc w:val="right"/>
            </w:pPr>
            <w:r w:rsidRPr="00A25F2C">
              <w:t>(92.5)</w:t>
            </w:r>
          </w:p>
        </w:tc>
        <w:tc>
          <w:tcPr>
            <w:tcW w:w="543" w:type="pct"/>
          </w:tcPr>
          <w:p w14:paraId="74149A4D" w14:textId="77777777" w:rsidR="009A601F" w:rsidRPr="00A25F2C" w:rsidRDefault="009A601F" w:rsidP="009A601F">
            <w:pPr>
              <w:pStyle w:val="TableBodyText"/>
              <w:jc w:val="right"/>
            </w:pPr>
            <w:r w:rsidRPr="00A25F2C">
              <w:t>(92.5)</w:t>
            </w:r>
          </w:p>
        </w:tc>
        <w:tc>
          <w:tcPr>
            <w:tcW w:w="543" w:type="pct"/>
          </w:tcPr>
          <w:p w14:paraId="55707A4D" w14:textId="77777777" w:rsidR="009A601F" w:rsidRPr="00A25F2C" w:rsidRDefault="009A601F" w:rsidP="009A601F">
            <w:pPr>
              <w:pStyle w:val="TableBodyText"/>
              <w:jc w:val="right"/>
            </w:pPr>
            <w:r w:rsidRPr="00A25F2C">
              <w:t>(92.5)</w:t>
            </w:r>
          </w:p>
        </w:tc>
        <w:tc>
          <w:tcPr>
            <w:tcW w:w="543" w:type="pct"/>
          </w:tcPr>
          <w:p w14:paraId="5710BF67" w14:textId="77777777" w:rsidR="009A601F" w:rsidRPr="00A25F2C" w:rsidRDefault="009A601F" w:rsidP="009A601F">
            <w:pPr>
              <w:pStyle w:val="TableBodyText"/>
              <w:jc w:val="right"/>
            </w:pPr>
            <w:r w:rsidRPr="00A25F2C">
              <w:t>(92.5)</w:t>
            </w:r>
          </w:p>
        </w:tc>
      </w:tr>
      <w:tr w:rsidR="00671EDB" w:rsidRPr="00A25F2C" w14:paraId="2C3ECDF0" w14:textId="77777777" w:rsidTr="007467EC">
        <w:tc>
          <w:tcPr>
            <w:tcW w:w="1199" w:type="pct"/>
          </w:tcPr>
          <w:p w14:paraId="6192CF31" w14:textId="77777777" w:rsidR="009A601F" w:rsidRPr="00A25F2C" w:rsidRDefault="009A601F" w:rsidP="009A601F">
            <w:pPr>
              <w:pStyle w:val="TableBodyText"/>
            </w:pPr>
            <w:r w:rsidRPr="00A25F2C">
              <w:t>VDP Service Concession</w:t>
            </w:r>
          </w:p>
        </w:tc>
        <w:tc>
          <w:tcPr>
            <w:tcW w:w="543" w:type="pct"/>
          </w:tcPr>
          <w:p w14:paraId="5823629E" w14:textId="77777777" w:rsidR="009A601F" w:rsidRPr="00A25F2C" w:rsidRDefault="009A601F" w:rsidP="009A601F">
            <w:pPr>
              <w:pStyle w:val="TableBodyText"/>
              <w:jc w:val="right"/>
            </w:pPr>
            <w:r w:rsidRPr="00A25F2C">
              <w:t>(48.3)</w:t>
            </w:r>
          </w:p>
        </w:tc>
        <w:tc>
          <w:tcPr>
            <w:tcW w:w="543" w:type="pct"/>
          </w:tcPr>
          <w:p w14:paraId="608B1CBD" w14:textId="77777777" w:rsidR="009A601F" w:rsidRPr="00A25F2C" w:rsidRDefault="009A601F" w:rsidP="009A601F">
            <w:pPr>
              <w:pStyle w:val="TableBodyText"/>
              <w:jc w:val="right"/>
            </w:pPr>
            <w:r w:rsidRPr="00A25F2C">
              <w:t>(48.0)</w:t>
            </w:r>
          </w:p>
        </w:tc>
        <w:tc>
          <w:tcPr>
            <w:tcW w:w="543" w:type="pct"/>
          </w:tcPr>
          <w:p w14:paraId="53DA7A97" w14:textId="77777777" w:rsidR="009A601F" w:rsidRPr="00A25F2C" w:rsidRDefault="009A601F" w:rsidP="009A601F">
            <w:pPr>
              <w:pStyle w:val="TableBodyText"/>
              <w:jc w:val="right"/>
            </w:pPr>
            <w:r w:rsidRPr="00A25F2C">
              <w:t>(59.9)</w:t>
            </w:r>
          </w:p>
        </w:tc>
        <w:tc>
          <w:tcPr>
            <w:tcW w:w="543" w:type="pct"/>
          </w:tcPr>
          <w:p w14:paraId="7F9DDD53" w14:textId="77777777" w:rsidR="009A601F" w:rsidRPr="00A25F2C" w:rsidRDefault="009A601F" w:rsidP="009A601F">
            <w:pPr>
              <w:pStyle w:val="TableBodyText"/>
              <w:jc w:val="right"/>
            </w:pPr>
            <w:r w:rsidRPr="00A25F2C">
              <w:t>(70.7)</w:t>
            </w:r>
          </w:p>
        </w:tc>
        <w:tc>
          <w:tcPr>
            <w:tcW w:w="543" w:type="pct"/>
          </w:tcPr>
          <w:p w14:paraId="6640BDA0" w14:textId="77777777" w:rsidR="009A601F" w:rsidRPr="00A25F2C" w:rsidRDefault="009A601F" w:rsidP="009A601F">
            <w:pPr>
              <w:pStyle w:val="TableBodyText"/>
              <w:jc w:val="right"/>
            </w:pPr>
            <w:r w:rsidRPr="00A25F2C">
              <w:t>(83.0)</w:t>
            </w:r>
          </w:p>
        </w:tc>
        <w:tc>
          <w:tcPr>
            <w:tcW w:w="543" w:type="pct"/>
          </w:tcPr>
          <w:p w14:paraId="5CB7825C" w14:textId="77777777" w:rsidR="009A601F" w:rsidRPr="00A25F2C" w:rsidRDefault="009A601F" w:rsidP="009A601F">
            <w:pPr>
              <w:pStyle w:val="TableBodyText"/>
              <w:jc w:val="right"/>
            </w:pPr>
            <w:r w:rsidRPr="00A25F2C">
              <w:t>(118.9)</w:t>
            </w:r>
          </w:p>
        </w:tc>
        <w:tc>
          <w:tcPr>
            <w:tcW w:w="543" w:type="pct"/>
          </w:tcPr>
          <w:p w14:paraId="0710D818" w14:textId="77777777" w:rsidR="009A601F" w:rsidRPr="00A25F2C" w:rsidRDefault="009A601F" w:rsidP="009A601F">
            <w:pPr>
              <w:pStyle w:val="TableBodyText"/>
              <w:jc w:val="right"/>
            </w:pPr>
            <w:r w:rsidRPr="00A25F2C">
              <w:t>(141.6)</w:t>
            </w:r>
          </w:p>
        </w:tc>
      </w:tr>
      <w:tr w:rsidR="00671EDB" w:rsidRPr="00A25F2C" w14:paraId="4AE55251" w14:textId="77777777" w:rsidTr="007467EC">
        <w:tc>
          <w:tcPr>
            <w:tcW w:w="1199" w:type="pct"/>
          </w:tcPr>
          <w:p w14:paraId="006F3307" w14:textId="77777777" w:rsidR="009A601F" w:rsidRPr="00A25F2C" w:rsidRDefault="009A601F" w:rsidP="009A601F">
            <w:pPr>
              <w:pStyle w:val="TableBodyText"/>
            </w:pPr>
            <w:r w:rsidRPr="00A25F2C">
              <w:t>Lease Liabilities</w:t>
            </w:r>
          </w:p>
        </w:tc>
        <w:tc>
          <w:tcPr>
            <w:tcW w:w="543" w:type="pct"/>
          </w:tcPr>
          <w:p w14:paraId="450547EB" w14:textId="77777777" w:rsidR="009A601F" w:rsidRPr="00A25F2C" w:rsidRDefault="009A601F" w:rsidP="009A601F">
            <w:pPr>
              <w:pStyle w:val="TableBodyText"/>
              <w:jc w:val="right"/>
            </w:pPr>
            <w:r w:rsidRPr="00A25F2C">
              <w:t>(8.2)</w:t>
            </w:r>
          </w:p>
        </w:tc>
        <w:tc>
          <w:tcPr>
            <w:tcW w:w="543" w:type="pct"/>
          </w:tcPr>
          <w:p w14:paraId="76A4DAEF" w14:textId="77777777" w:rsidR="009A601F" w:rsidRPr="00A25F2C" w:rsidRDefault="009A601F" w:rsidP="009A601F">
            <w:pPr>
              <w:pStyle w:val="TableBodyText"/>
              <w:jc w:val="right"/>
            </w:pPr>
            <w:r w:rsidRPr="00A25F2C">
              <w:t>(8.1)</w:t>
            </w:r>
          </w:p>
        </w:tc>
        <w:tc>
          <w:tcPr>
            <w:tcW w:w="543" w:type="pct"/>
          </w:tcPr>
          <w:p w14:paraId="2D7002F4" w14:textId="77777777" w:rsidR="009A601F" w:rsidRPr="00A25F2C" w:rsidRDefault="009A601F" w:rsidP="009A601F">
            <w:pPr>
              <w:pStyle w:val="TableBodyText"/>
              <w:jc w:val="right"/>
            </w:pPr>
            <w:r w:rsidRPr="00A25F2C">
              <w:t>(8.4)</w:t>
            </w:r>
          </w:p>
        </w:tc>
        <w:tc>
          <w:tcPr>
            <w:tcW w:w="543" w:type="pct"/>
          </w:tcPr>
          <w:p w14:paraId="3D2E157F" w14:textId="77777777" w:rsidR="009A601F" w:rsidRPr="00A25F2C" w:rsidRDefault="009A601F" w:rsidP="009A601F">
            <w:pPr>
              <w:pStyle w:val="TableBodyText"/>
              <w:jc w:val="right"/>
            </w:pPr>
            <w:r w:rsidRPr="00A25F2C">
              <w:t>(9.1)</w:t>
            </w:r>
          </w:p>
        </w:tc>
        <w:tc>
          <w:tcPr>
            <w:tcW w:w="543" w:type="pct"/>
          </w:tcPr>
          <w:p w14:paraId="2BFB6E39" w14:textId="77777777" w:rsidR="009A601F" w:rsidRPr="00A25F2C" w:rsidRDefault="009A601F" w:rsidP="009A601F">
            <w:pPr>
              <w:pStyle w:val="TableBodyText"/>
              <w:jc w:val="right"/>
            </w:pPr>
            <w:r w:rsidRPr="00A25F2C">
              <w:t>(9.7)</w:t>
            </w:r>
          </w:p>
        </w:tc>
        <w:tc>
          <w:tcPr>
            <w:tcW w:w="543" w:type="pct"/>
          </w:tcPr>
          <w:p w14:paraId="67C04650" w14:textId="77777777" w:rsidR="009A601F" w:rsidRPr="00A25F2C" w:rsidRDefault="009A601F" w:rsidP="009A601F">
            <w:pPr>
              <w:pStyle w:val="TableBodyText"/>
              <w:jc w:val="right"/>
            </w:pPr>
            <w:r w:rsidRPr="00A25F2C">
              <w:t>(9.8)</w:t>
            </w:r>
          </w:p>
        </w:tc>
        <w:tc>
          <w:tcPr>
            <w:tcW w:w="543" w:type="pct"/>
          </w:tcPr>
          <w:p w14:paraId="56566173" w14:textId="77777777" w:rsidR="009A601F" w:rsidRPr="00A25F2C" w:rsidRDefault="009A601F" w:rsidP="009A601F">
            <w:pPr>
              <w:pStyle w:val="TableBodyText"/>
              <w:jc w:val="right"/>
            </w:pPr>
            <w:r w:rsidRPr="00A25F2C">
              <w:t>(9.7)</w:t>
            </w:r>
          </w:p>
        </w:tc>
      </w:tr>
      <w:tr w:rsidR="00671EDB" w:rsidRPr="00A25F2C" w14:paraId="0B0049ED" w14:textId="77777777" w:rsidTr="007467EC">
        <w:tc>
          <w:tcPr>
            <w:tcW w:w="1199" w:type="pct"/>
          </w:tcPr>
          <w:p w14:paraId="5A93C996" w14:textId="77777777" w:rsidR="009A601F" w:rsidRPr="00A25F2C" w:rsidRDefault="009A601F" w:rsidP="009A601F">
            <w:pPr>
              <w:pStyle w:val="TableBodyText"/>
            </w:pPr>
            <w:r w:rsidRPr="00A25F2C">
              <w:t>Borrowings</w:t>
            </w:r>
          </w:p>
        </w:tc>
        <w:tc>
          <w:tcPr>
            <w:tcW w:w="543" w:type="pct"/>
          </w:tcPr>
          <w:p w14:paraId="72A9695D" w14:textId="77777777" w:rsidR="009A601F" w:rsidRPr="00A25F2C" w:rsidRDefault="009A601F" w:rsidP="009A601F">
            <w:pPr>
              <w:pStyle w:val="TableBodyText"/>
              <w:jc w:val="right"/>
            </w:pPr>
            <w:r w:rsidRPr="00A25F2C">
              <w:t>(528.2)</w:t>
            </w:r>
          </w:p>
        </w:tc>
        <w:tc>
          <w:tcPr>
            <w:tcW w:w="543" w:type="pct"/>
          </w:tcPr>
          <w:p w14:paraId="683C07DF" w14:textId="77777777" w:rsidR="009A601F" w:rsidRPr="00A25F2C" w:rsidRDefault="009A601F" w:rsidP="009A601F">
            <w:pPr>
              <w:pStyle w:val="TableBodyText"/>
              <w:jc w:val="right"/>
            </w:pPr>
            <w:r w:rsidRPr="00A25F2C">
              <w:t>(328.2)</w:t>
            </w:r>
          </w:p>
        </w:tc>
        <w:tc>
          <w:tcPr>
            <w:tcW w:w="543" w:type="pct"/>
          </w:tcPr>
          <w:p w14:paraId="6206F636" w14:textId="77777777" w:rsidR="009A601F" w:rsidRPr="00A25F2C" w:rsidRDefault="009A601F" w:rsidP="009A601F">
            <w:pPr>
              <w:pStyle w:val="TableBodyText"/>
              <w:jc w:val="right"/>
            </w:pPr>
            <w:r w:rsidRPr="00A25F2C">
              <w:t>(604.0)</w:t>
            </w:r>
          </w:p>
        </w:tc>
        <w:tc>
          <w:tcPr>
            <w:tcW w:w="543" w:type="pct"/>
          </w:tcPr>
          <w:p w14:paraId="40206DA7" w14:textId="77777777" w:rsidR="009A601F" w:rsidRPr="00A25F2C" w:rsidRDefault="009A601F" w:rsidP="009A601F">
            <w:pPr>
              <w:pStyle w:val="TableBodyText"/>
              <w:jc w:val="right"/>
            </w:pPr>
            <w:r w:rsidRPr="00A25F2C">
              <w:t>(616.5)</w:t>
            </w:r>
          </w:p>
        </w:tc>
        <w:tc>
          <w:tcPr>
            <w:tcW w:w="543" w:type="pct"/>
          </w:tcPr>
          <w:p w14:paraId="371B790F" w14:textId="77777777" w:rsidR="009A601F" w:rsidRPr="00A25F2C" w:rsidRDefault="009A601F" w:rsidP="009A601F">
            <w:pPr>
              <w:pStyle w:val="TableBodyText"/>
              <w:jc w:val="right"/>
            </w:pPr>
            <w:r w:rsidRPr="00A25F2C">
              <w:t>(568.0)</w:t>
            </w:r>
          </w:p>
        </w:tc>
        <w:tc>
          <w:tcPr>
            <w:tcW w:w="543" w:type="pct"/>
          </w:tcPr>
          <w:p w14:paraId="340002AD" w14:textId="77777777" w:rsidR="009A601F" w:rsidRPr="00A25F2C" w:rsidRDefault="009A601F" w:rsidP="009A601F">
            <w:pPr>
              <w:pStyle w:val="TableBodyText"/>
              <w:jc w:val="right"/>
            </w:pPr>
            <w:r w:rsidRPr="00A25F2C">
              <w:t>(561.9)</w:t>
            </w:r>
          </w:p>
        </w:tc>
        <w:tc>
          <w:tcPr>
            <w:tcW w:w="543" w:type="pct"/>
          </w:tcPr>
          <w:p w14:paraId="7F737299" w14:textId="77777777" w:rsidR="009A601F" w:rsidRPr="00A25F2C" w:rsidRDefault="009A601F" w:rsidP="009A601F">
            <w:pPr>
              <w:pStyle w:val="TableBodyText"/>
              <w:jc w:val="right"/>
            </w:pPr>
            <w:r w:rsidRPr="00A25F2C">
              <w:t>(566.7)</w:t>
            </w:r>
          </w:p>
        </w:tc>
      </w:tr>
      <w:tr w:rsidR="00671EDB" w:rsidRPr="00A25F2C" w14:paraId="2E14D45F" w14:textId="77777777" w:rsidTr="007467EC">
        <w:tc>
          <w:tcPr>
            <w:tcW w:w="1199" w:type="pct"/>
          </w:tcPr>
          <w:p w14:paraId="2520C3C5" w14:textId="77777777" w:rsidR="009A601F" w:rsidRPr="00A25F2C" w:rsidRDefault="009A601F" w:rsidP="009A601F">
            <w:pPr>
              <w:pStyle w:val="TableBodyText"/>
            </w:pPr>
            <w:r w:rsidRPr="00A25F2C">
              <w:t>Employee Entitlements</w:t>
            </w:r>
          </w:p>
        </w:tc>
        <w:tc>
          <w:tcPr>
            <w:tcW w:w="543" w:type="pct"/>
          </w:tcPr>
          <w:p w14:paraId="750318A8" w14:textId="77777777" w:rsidR="009A601F" w:rsidRPr="00A25F2C" w:rsidRDefault="009A601F" w:rsidP="009A601F">
            <w:pPr>
              <w:pStyle w:val="TableBodyText"/>
              <w:jc w:val="right"/>
            </w:pPr>
            <w:r w:rsidRPr="00A25F2C">
              <w:t>(48.5)</w:t>
            </w:r>
          </w:p>
        </w:tc>
        <w:tc>
          <w:tcPr>
            <w:tcW w:w="543" w:type="pct"/>
          </w:tcPr>
          <w:p w14:paraId="12D5D8CC" w14:textId="77777777" w:rsidR="009A601F" w:rsidRPr="00A25F2C" w:rsidRDefault="009A601F" w:rsidP="009A601F">
            <w:pPr>
              <w:pStyle w:val="TableBodyText"/>
              <w:jc w:val="right"/>
            </w:pPr>
            <w:r w:rsidRPr="00A25F2C">
              <w:t>(51.3)</w:t>
            </w:r>
          </w:p>
        </w:tc>
        <w:tc>
          <w:tcPr>
            <w:tcW w:w="543" w:type="pct"/>
          </w:tcPr>
          <w:p w14:paraId="30EAD603" w14:textId="77777777" w:rsidR="009A601F" w:rsidRPr="00A25F2C" w:rsidRDefault="009A601F" w:rsidP="009A601F">
            <w:pPr>
              <w:pStyle w:val="TableBodyText"/>
              <w:jc w:val="right"/>
            </w:pPr>
            <w:r w:rsidRPr="00A25F2C">
              <w:t>(49.2)</w:t>
            </w:r>
          </w:p>
        </w:tc>
        <w:tc>
          <w:tcPr>
            <w:tcW w:w="543" w:type="pct"/>
          </w:tcPr>
          <w:p w14:paraId="3C210B01" w14:textId="77777777" w:rsidR="009A601F" w:rsidRPr="00A25F2C" w:rsidRDefault="009A601F" w:rsidP="009A601F">
            <w:pPr>
              <w:pStyle w:val="TableBodyText"/>
              <w:jc w:val="right"/>
            </w:pPr>
            <w:r w:rsidRPr="00A25F2C">
              <w:t>(44.4)</w:t>
            </w:r>
          </w:p>
        </w:tc>
        <w:tc>
          <w:tcPr>
            <w:tcW w:w="543" w:type="pct"/>
          </w:tcPr>
          <w:p w14:paraId="5AAFFE01" w14:textId="77777777" w:rsidR="009A601F" w:rsidRPr="00A25F2C" w:rsidRDefault="009A601F" w:rsidP="009A601F">
            <w:pPr>
              <w:pStyle w:val="TableBodyText"/>
              <w:jc w:val="right"/>
            </w:pPr>
            <w:r w:rsidRPr="00A25F2C">
              <w:t>(45.8)</w:t>
            </w:r>
          </w:p>
        </w:tc>
        <w:tc>
          <w:tcPr>
            <w:tcW w:w="543" w:type="pct"/>
          </w:tcPr>
          <w:p w14:paraId="2CB041A2" w14:textId="77777777" w:rsidR="009A601F" w:rsidRPr="00A25F2C" w:rsidRDefault="009A601F" w:rsidP="009A601F">
            <w:pPr>
              <w:pStyle w:val="TableBodyText"/>
              <w:jc w:val="right"/>
            </w:pPr>
            <w:r w:rsidRPr="00A25F2C">
              <w:t>(47.3)</w:t>
            </w:r>
          </w:p>
        </w:tc>
        <w:tc>
          <w:tcPr>
            <w:tcW w:w="543" w:type="pct"/>
          </w:tcPr>
          <w:p w14:paraId="00D2B275" w14:textId="77777777" w:rsidR="009A601F" w:rsidRPr="00A25F2C" w:rsidRDefault="009A601F" w:rsidP="009A601F">
            <w:pPr>
              <w:pStyle w:val="TableBodyText"/>
              <w:jc w:val="right"/>
            </w:pPr>
            <w:r w:rsidRPr="00A25F2C">
              <w:t>(49.4)</w:t>
            </w:r>
          </w:p>
        </w:tc>
      </w:tr>
      <w:tr w:rsidR="00671EDB" w:rsidRPr="00A25F2C" w14:paraId="6FE0D47D" w14:textId="77777777" w:rsidTr="007467EC">
        <w:tc>
          <w:tcPr>
            <w:tcW w:w="1199" w:type="pct"/>
          </w:tcPr>
          <w:p w14:paraId="70241E3F" w14:textId="22F49CFA" w:rsidR="009A601F" w:rsidRPr="00A25F2C" w:rsidRDefault="009A601F" w:rsidP="009A601F">
            <w:pPr>
              <w:pStyle w:val="TableBodyText"/>
            </w:pPr>
            <w:r w:rsidRPr="00A25F2C">
              <w:t>Other Current Liabilities</w:t>
            </w:r>
          </w:p>
        </w:tc>
        <w:tc>
          <w:tcPr>
            <w:tcW w:w="543" w:type="pct"/>
          </w:tcPr>
          <w:p w14:paraId="34A94525" w14:textId="77777777" w:rsidR="009A601F" w:rsidRPr="00A25F2C" w:rsidRDefault="009A601F" w:rsidP="009A601F">
            <w:pPr>
              <w:pStyle w:val="TableBodyText"/>
              <w:jc w:val="right"/>
            </w:pPr>
            <w:r w:rsidRPr="00A25F2C">
              <w:t>(19.2)</w:t>
            </w:r>
          </w:p>
        </w:tc>
        <w:tc>
          <w:tcPr>
            <w:tcW w:w="543" w:type="pct"/>
          </w:tcPr>
          <w:p w14:paraId="5CCE6E09" w14:textId="77777777" w:rsidR="009A601F" w:rsidRPr="00A25F2C" w:rsidRDefault="009A601F" w:rsidP="009A601F">
            <w:pPr>
              <w:pStyle w:val="TableBodyText"/>
              <w:jc w:val="right"/>
            </w:pPr>
            <w:r w:rsidRPr="00A25F2C">
              <w:t>(6.5)</w:t>
            </w:r>
          </w:p>
        </w:tc>
        <w:tc>
          <w:tcPr>
            <w:tcW w:w="543" w:type="pct"/>
          </w:tcPr>
          <w:p w14:paraId="7660480D" w14:textId="77777777" w:rsidR="009A601F" w:rsidRPr="00A25F2C" w:rsidRDefault="009A601F" w:rsidP="009A601F">
            <w:pPr>
              <w:pStyle w:val="TableBodyText"/>
              <w:jc w:val="right"/>
            </w:pPr>
            <w:r w:rsidRPr="00A25F2C">
              <w:t>(18.9)</w:t>
            </w:r>
          </w:p>
        </w:tc>
        <w:tc>
          <w:tcPr>
            <w:tcW w:w="543" w:type="pct"/>
          </w:tcPr>
          <w:p w14:paraId="66B9136E" w14:textId="77777777" w:rsidR="009A601F" w:rsidRPr="00A25F2C" w:rsidRDefault="009A601F" w:rsidP="009A601F">
            <w:pPr>
              <w:pStyle w:val="TableBodyText"/>
              <w:jc w:val="right"/>
            </w:pPr>
            <w:r w:rsidRPr="00A25F2C">
              <w:t>(16.4)</w:t>
            </w:r>
          </w:p>
        </w:tc>
        <w:tc>
          <w:tcPr>
            <w:tcW w:w="543" w:type="pct"/>
          </w:tcPr>
          <w:p w14:paraId="652B54C6" w14:textId="77777777" w:rsidR="009A601F" w:rsidRPr="00A25F2C" w:rsidRDefault="009A601F" w:rsidP="009A601F">
            <w:pPr>
              <w:pStyle w:val="TableBodyText"/>
              <w:jc w:val="right"/>
            </w:pPr>
            <w:r w:rsidRPr="00A25F2C">
              <w:t>(17.6)</w:t>
            </w:r>
          </w:p>
        </w:tc>
        <w:tc>
          <w:tcPr>
            <w:tcW w:w="543" w:type="pct"/>
          </w:tcPr>
          <w:p w14:paraId="4A602CC3" w14:textId="77777777" w:rsidR="009A601F" w:rsidRPr="00A25F2C" w:rsidRDefault="009A601F" w:rsidP="009A601F">
            <w:pPr>
              <w:pStyle w:val="TableBodyText"/>
              <w:jc w:val="right"/>
            </w:pPr>
            <w:r w:rsidRPr="00A25F2C">
              <w:t>(17.3)</w:t>
            </w:r>
          </w:p>
        </w:tc>
        <w:tc>
          <w:tcPr>
            <w:tcW w:w="543" w:type="pct"/>
          </w:tcPr>
          <w:p w14:paraId="66A1FFD7" w14:textId="77777777" w:rsidR="009A601F" w:rsidRPr="00A25F2C" w:rsidRDefault="009A601F" w:rsidP="009A601F">
            <w:pPr>
              <w:pStyle w:val="TableBodyText"/>
              <w:jc w:val="right"/>
            </w:pPr>
            <w:r w:rsidRPr="00A25F2C">
              <w:t>(15.1)</w:t>
            </w:r>
          </w:p>
        </w:tc>
      </w:tr>
      <w:tr w:rsidR="00671EDB" w:rsidRPr="00A25F2C" w14:paraId="53E9C13E" w14:textId="77777777" w:rsidTr="007467EC">
        <w:tc>
          <w:tcPr>
            <w:tcW w:w="1199" w:type="pct"/>
          </w:tcPr>
          <w:p w14:paraId="1F44A324" w14:textId="4B41538F" w:rsidR="009A601F" w:rsidRPr="00A25F2C" w:rsidRDefault="009A601F" w:rsidP="009A601F">
            <w:pPr>
              <w:pStyle w:val="TableBodyText"/>
            </w:pPr>
            <w:r w:rsidRPr="00A25F2C">
              <w:rPr>
                <w:b/>
              </w:rPr>
              <w:t>Total Current Liabilities</w:t>
            </w:r>
          </w:p>
        </w:tc>
        <w:tc>
          <w:tcPr>
            <w:tcW w:w="543" w:type="pct"/>
          </w:tcPr>
          <w:p w14:paraId="27336CED" w14:textId="77777777" w:rsidR="009A601F" w:rsidRPr="00A25F2C" w:rsidRDefault="009A601F" w:rsidP="009A601F">
            <w:pPr>
              <w:pStyle w:val="TableBodyText"/>
              <w:jc w:val="right"/>
            </w:pPr>
            <w:r w:rsidRPr="00A25F2C">
              <w:rPr>
                <w:b/>
              </w:rPr>
              <w:t>(1,176.0)</w:t>
            </w:r>
          </w:p>
        </w:tc>
        <w:tc>
          <w:tcPr>
            <w:tcW w:w="543" w:type="pct"/>
          </w:tcPr>
          <w:p w14:paraId="7AE6998F" w14:textId="77777777" w:rsidR="009A601F" w:rsidRPr="00A25F2C" w:rsidRDefault="009A601F" w:rsidP="009A601F">
            <w:pPr>
              <w:pStyle w:val="TableBodyText"/>
              <w:jc w:val="right"/>
            </w:pPr>
            <w:r w:rsidRPr="00A25F2C">
              <w:rPr>
                <w:b/>
              </w:rPr>
              <w:t>(860.4)</w:t>
            </w:r>
          </w:p>
        </w:tc>
        <w:tc>
          <w:tcPr>
            <w:tcW w:w="543" w:type="pct"/>
          </w:tcPr>
          <w:p w14:paraId="7B9DFE81" w14:textId="77777777" w:rsidR="009A601F" w:rsidRPr="00A25F2C" w:rsidRDefault="009A601F" w:rsidP="009A601F">
            <w:pPr>
              <w:pStyle w:val="TableBodyText"/>
              <w:jc w:val="right"/>
            </w:pPr>
            <w:r w:rsidRPr="00A25F2C">
              <w:rPr>
                <w:b/>
              </w:rPr>
              <w:t>(1,226.3)</w:t>
            </w:r>
          </w:p>
        </w:tc>
        <w:tc>
          <w:tcPr>
            <w:tcW w:w="543" w:type="pct"/>
          </w:tcPr>
          <w:p w14:paraId="773988EE" w14:textId="77777777" w:rsidR="009A601F" w:rsidRPr="00A25F2C" w:rsidRDefault="009A601F" w:rsidP="009A601F">
            <w:pPr>
              <w:pStyle w:val="TableBodyText"/>
              <w:jc w:val="right"/>
            </w:pPr>
            <w:r w:rsidRPr="00A25F2C">
              <w:rPr>
                <w:b/>
              </w:rPr>
              <w:t>(1,266.9)</w:t>
            </w:r>
          </w:p>
        </w:tc>
        <w:tc>
          <w:tcPr>
            <w:tcW w:w="543" w:type="pct"/>
          </w:tcPr>
          <w:p w14:paraId="75470C37" w14:textId="77777777" w:rsidR="009A601F" w:rsidRPr="00A25F2C" w:rsidRDefault="009A601F" w:rsidP="009A601F">
            <w:pPr>
              <w:pStyle w:val="TableBodyText"/>
              <w:jc w:val="right"/>
            </w:pPr>
            <w:r w:rsidRPr="00A25F2C">
              <w:rPr>
                <w:b/>
              </w:rPr>
              <w:t>(1,215.7)</w:t>
            </w:r>
          </w:p>
        </w:tc>
        <w:tc>
          <w:tcPr>
            <w:tcW w:w="543" w:type="pct"/>
          </w:tcPr>
          <w:p w14:paraId="41ACA0A0" w14:textId="77777777" w:rsidR="009A601F" w:rsidRPr="00A25F2C" w:rsidRDefault="009A601F" w:rsidP="009A601F">
            <w:pPr>
              <w:pStyle w:val="TableBodyText"/>
              <w:jc w:val="right"/>
            </w:pPr>
            <w:r w:rsidRPr="00A25F2C">
              <w:rPr>
                <w:b/>
              </w:rPr>
              <w:t>(1,322.9)</w:t>
            </w:r>
          </w:p>
        </w:tc>
        <w:tc>
          <w:tcPr>
            <w:tcW w:w="543" w:type="pct"/>
          </w:tcPr>
          <w:p w14:paraId="169B03B4" w14:textId="77777777" w:rsidR="009A601F" w:rsidRPr="00A25F2C" w:rsidRDefault="009A601F" w:rsidP="009A601F">
            <w:pPr>
              <w:pStyle w:val="TableBodyText"/>
              <w:jc w:val="right"/>
              <w:rPr>
                <w:b/>
              </w:rPr>
            </w:pPr>
            <w:r w:rsidRPr="00A25F2C">
              <w:rPr>
                <w:b/>
              </w:rPr>
              <w:t>(1,404.4)</w:t>
            </w:r>
          </w:p>
        </w:tc>
      </w:tr>
      <w:tr w:rsidR="00671EDB" w:rsidRPr="00A25F2C" w14:paraId="02BE1707" w14:textId="77777777" w:rsidTr="007467EC">
        <w:tc>
          <w:tcPr>
            <w:tcW w:w="1199" w:type="pct"/>
          </w:tcPr>
          <w:p w14:paraId="49A751D9" w14:textId="77777777" w:rsidR="00335623" w:rsidRPr="00A25F2C" w:rsidRDefault="00335623" w:rsidP="00335623">
            <w:pPr>
              <w:pStyle w:val="TableBodyText"/>
              <w:rPr>
                <w:b/>
              </w:rPr>
            </w:pPr>
            <w:r w:rsidRPr="00A25F2C">
              <w:rPr>
                <w:b/>
              </w:rPr>
              <w:t>Non-Current Liabilities</w:t>
            </w:r>
          </w:p>
        </w:tc>
        <w:tc>
          <w:tcPr>
            <w:tcW w:w="543" w:type="pct"/>
          </w:tcPr>
          <w:p w14:paraId="32FBC202" w14:textId="07E9AA97" w:rsidR="00335623" w:rsidRPr="00A25F2C" w:rsidRDefault="00995D31" w:rsidP="00335623">
            <w:pPr>
              <w:spacing w:before="0" w:after="0"/>
              <w:jc w:val="right"/>
            </w:pPr>
            <w:r>
              <w:t>N/A</w:t>
            </w:r>
          </w:p>
        </w:tc>
        <w:tc>
          <w:tcPr>
            <w:tcW w:w="543" w:type="pct"/>
          </w:tcPr>
          <w:p w14:paraId="6F2DECE3" w14:textId="460BD948" w:rsidR="00335623" w:rsidRPr="00A25F2C" w:rsidRDefault="00995D31" w:rsidP="00335623">
            <w:pPr>
              <w:pStyle w:val="TableBodyText"/>
              <w:jc w:val="right"/>
            </w:pPr>
            <w:r>
              <w:t>N/A</w:t>
            </w:r>
          </w:p>
        </w:tc>
        <w:tc>
          <w:tcPr>
            <w:tcW w:w="543" w:type="pct"/>
          </w:tcPr>
          <w:p w14:paraId="4FE5C59D" w14:textId="1A63C17A" w:rsidR="00335623" w:rsidRPr="00A25F2C" w:rsidRDefault="00995D31" w:rsidP="00335623">
            <w:pPr>
              <w:pStyle w:val="TableBodyText"/>
              <w:jc w:val="right"/>
            </w:pPr>
            <w:r>
              <w:t>N/A</w:t>
            </w:r>
          </w:p>
        </w:tc>
        <w:tc>
          <w:tcPr>
            <w:tcW w:w="543" w:type="pct"/>
          </w:tcPr>
          <w:p w14:paraId="3CDAE955" w14:textId="6B3BFEC1" w:rsidR="00335623" w:rsidRPr="00A25F2C" w:rsidRDefault="00995D31" w:rsidP="00335623">
            <w:pPr>
              <w:pStyle w:val="TableBodyText"/>
              <w:jc w:val="right"/>
            </w:pPr>
            <w:r>
              <w:t>N/A</w:t>
            </w:r>
          </w:p>
        </w:tc>
        <w:tc>
          <w:tcPr>
            <w:tcW w:w="543" w:type="pct"/>
          </w:tcPr>
          <w:p w14:paraId="35363ECA" w14:textId="2DDFF0DC" w:rsidR="00335623" w:rsidRPr="00A25F2C" w:rsidRDefault="00995D31" w:rsidP="00335623">
            <w:pPr>
              <w:pStyle w:val="TableBodyText"/>
              <w:jc w:val="right"/>
            </w:pPr>
            <w:r>
              <w:t>N/A</w:t>
            </w:r>
          </w:p>
        </w:tc>
        <w:tc>
          <w:tcPr>
            <w:tcW w:w="543" w:type="pct"/>
          </w:tcPr>
          <w:p w14:paraId="7D13AE36" w14:textId="2E26868D" w:rsidR="00335623" w:rsidRPr="00A25F2C" w:rsidRDefault="00995D31" w:rsidP="00335623">
            <w:pPr>
              <w:pStyle w:val="TableBodyText"/>
              <w:jc w:val="right"/>
            </w:pPr>
            <w:r>
              <w:t>N/A</w:t>
            </w:r>
          </w:p>
        </w:tc>
        <w:tc>
          <w:tcPr>
            <w:tcW w:w="543" w:type="pct"/>
          </w:tcPr>
          <w:p w14:paraId="7F4E87D6" w14:textId="278382C0" w:rsidR="00335623" w:rsidRPr="00A25F2C" w:rsidRDefault="00995D31" w:rsidP="00335623">
            <w:pPr>
              <w:pStyle w:val="TableBodyText"/>
              <w:jc w:val="right"/>
            </w:pPr>
            <w:r>
              <w:t>N/A</w:t>
            </w:r>
          </w:p>
        </w:tc>
      </w:tr>
      <w:tr w:rsidR="00671EDB" w:rsidRPr="00A25F2C" w14:paraId="45167CB3" w14:textId="77777777" w:rsidTr="007467EC">
        <w:tc>
          <w:tcPr>
            <w:tcW w:w="1199" w:type="pct"/>
          </w:tcPr>
          <w:p w14:paraId="51862BCD" w14:textId="77777777" w:rsidR="009A601F" w:rsidRPr="00A25F2C" w:rsidRDefault="009A601F" w:rsidP="009A601F">
            <w:pPr>
              <w:pStyle w:val="TableBodyText"/>
            </w:pPr>
            <w:r w:rsidRPr="00A25F2C">
              <w:t>VDP Service Concession</w:t>
            </w:r>
          </w:p>
        </w:tc>
        <w:tc>
          <w:tcPr>
            <w:tcW w:w="543" w:type="pct"/>
          </w:tcPr>
          <w:p w14:paraId="234B4386" w14:textId="77777777" w:rsidR="009A601F" w:rsidRPr="00A25F2C" w:rsidRDefault="009A601F" w:rsidP="009A601F">
            <w:pPr>
              <w:pStyle w:val="TableBodyText"/>
              <w:jc w:val="right"/>
            </w:pPr>
            <w:r w:rsidRPr="00A25F2C">
              <w:t>(3,464.7)</w:t>
            </w:r>
          </w:p>
        </w:tc>
        <w:tc>
          <w:tcPr>
            <w:tcW w:w="543" w:type="pct"/>
          </w:tcPr>
          <w:p w14:paraId="196A3350" w14:textId="77777777" w:rsidR="009A601F" w:rsidRPr="00A25F2C" w:rsidRDefault="009A601F" w:rsidP="009A601F">
            <w:pPr>
              <w:pStyle w:val="TableBodyText"/>
              <w:jc w:val="right"/>
            </w:pPr>
            <w:r w:rsidRPr="00A25F2C">
              <w:t>(3,465.1)</w:t>
            </w:r>
          </w:p>
        </w:tc>
        <w:tc>
          <w:tcPr>
            <w:tcW w:w="543" w:type="pct"/>
          </w:tcPr>
          <w:p w14:paraId="1A3F506B" w14:textId="77777777" w:rsidR="009A601F" w:rsidRPr="00A25F2C" w:rsidRDefault="009A601F" w:rsidP="009A601F">
            <w:pPr>
              <w:pStyle w:val="TableBodyText"/>
              <w:jc w:val="right"/>
            </w:pPr>
            <w:r w:rsidRPr="00A25F2C">
              <w:t>(3,404.8)</w:t>
            </w:r>
          </w:p>
        </w:tc>
        <w:tc>
          <w:tcPr>
            <w:tcW w:w="543" w:type="pct"/>
          </w:tcPr>
          <w:p w14:paraId="09FCCFDF" w14:textId="77777777" w:rsidR="009A601F" w:rsidRPr="00A25F2C" w:rsidRDefault="009A601F" w:rsidP="009A601F">
            <w:pPr>
              <w:pStyle w:val="TableBodyText"/>
              <w:jc w:val="right"/>
            </w:pPr>
            <w:r w:rsidRPr="00A25F2C">
              <w:t>(3,334.2)</w:t>
            </w:r>
          </w:p>
        </w:tc>
        <w:tc>
          <w:tcPr>
            <w:tcW w:w="543" w:type="pct"/>
          </w:tcPr>
          <w:p w14:paraId="42BF5DED" w14:textId="77777777" w:rsidR="009A601F" w:rsidRPr="00A25F2C" w:rsidRDefault="009A601F" w:rsidP="009A601F">
            <w:pPr>
              <w:pStyle w:val="TableBodyText"/>
              <w:jc w:val="right"/>
            </w:pPr>
            <w:r w:rsidRPr="00A25F2C">
              <w:t>(3,251.2)</w:t>
            </w:r>
          </w:p>
        </w:tc>
        <w:tc>
          <w:tcPr>
            <w:tcW w:w="543" w:type="pct"/>
          </w:tcPr>
          <w:p w14:paraId="4283249D" w14:textId="77777777" w:rsidR="009A601F" w:rsidRPr="00A25F2C" w:rsidRDefault="009A601F" w:rsidP="009A601F">
            <w:pPr>
              <w:pStyle w:val="TableBodyText"/>
              <w:jc w:val="right"/>
            </w:pPr>
            <w:r w:rsidRPr="00A25F2C">
              <w:t>(3,132.3)</w:t>
            </w:r>
          </w:p>
        </w:tc>
        <w:tc>
          <w:tcPr>
            <w:tcW w:w="543" w:type="pct"/>
          </w:tcPr>
          <w:p w14:paraId="3C207ADE" w14:textId="77777777" w:rsidR="009A601F" w:rsidRPr="00A25F2C" w:rsidRDefault="009A601F" w:rsidP="009A601F">
            <w:pPr>
              <w:pStyle w:val="TableBodyText"/>
              <w:jc w:val="right"/>
            </w:pPr>
            <w:r w:rsidRPr="00A25F2C">
              <w:t>(2,990.6)</w:t>
            </w:r>
          </w:p>
        </w:tc>
      </w:tr>
      <w:tr w:rsidR="00671EDB" w:rsidRPr="00A25F2C" w14:paraId="19EFAB5B" w14:textId="77777777" w:rsidTr="007467EC">
        <w:tc>
          <w:tcPr>
            <w:tcW w:w="1199" w:type="pct"/>
          </w:tcPr>
          <w:p w14:paraId="0ABAC801" w14:textId="77777777" w:rsidR="009A601F" w:rsidRPr="00A25F2C" w:rsidRDefault="009A601F" w:rsidP="009A601F">
            <w:pPr>
              <w:pStyle w:val="TableBodyText"/>
            </w:pPr>
            <w:r w:rsidRPr="00A25F2C">
              <w:t>Lease Liabilities</w:t>
            </w:r>
          </w:p>
        </w:tc>
        <w:tc>
          <w:tcPr>
            <w:tcW w:w="543" w:type="pct"/>
          </w:tcPr>
          <w:p w14:paraId="3A979432" w14:textId="77777777" w:rsidR="009A601F" w:rsidRPr="00A25F2C" w:rsidRDefault="009A601F" w:rsidP="009A601F">
            <w:pPr>
              <w:pStyle w:val="TableBodyText"/>
              <w:jc w:val="right"/>
            </w:pPr>
            <w:r w:rsidRPr="00A25F2C">
              <w:t>(27.9)</w:t>
            </w:r>
          </w:p>
        </w:tc>
        <w:tc>
          <w:tcPr>
            <w:tcW w:w="543" w:type="pct"/>
          </w:tcPr>
          <w:p w14:paraId="641D2717" w14:textId="77777777" w:rsidR="009A601F" w:rsidRPr="00A25F2C" w:rsidRDefault="009A601F" w:rsidP="009A601F">
            <w:pPr>
              <w:pStyle w:val="TableBodyText"/>
              <w:jc w:val="right"/>
            </w:pPr>
            <w:r w:rsidRPr="00A25F2C">
              <w:t>(28.7)</w:t>
            </w:r>
          </w:p>
        </w:tc>
        <w:tc>
          <w:tcPr>
            <w:tcW w:w="543" w:type="pct"/>
          </w:tcPr>
          <w:p w14:paraId="4D7190E5" w14:textId="77777777" w:rsidR="009A601F" w:rsidRPr="00A25F2C" w:rsidRDefault="009A601F" w:rsidP="009A601F">
            <w:pPr>
              <w:pStyle w:val="TableBodyText"/>
              <w:jc w:val="right"/>
            </w:pPr>
            <w:r w:rsidRPr="00A25F2C">
              <w:t>(21.6)</w:t>
            </w:r>
          </w:p>
        </w:tc>
        <w:tc>
          <w:tcPr>
            <w:tcW w:w="543" w:type="pct"/>
          </w:tcPr>
          <w:p w14:paraId="18D07E7B" w14:textId="77777777" w:rsidR="009A601F" w:rsidRPr="00A25F2C" w:rsidRDefault="009A601F" w:rsidP="009A601F">
            <w:pPr>
              <w:pStyle w:val="TableBodyText"/>
              <w:jc w:val="right"/>
            </w:pPr>
            <w:r w:rsidRPr="00A25F2C">
              <w:t>(12.3)</w:t>
            </w:r>
          </w:p>
        </w:tc>
        <w:tc>
          <w:tcPr>
            <w:tcW w:w="543" w:type="pct"/>
          </w:tcPr>
          <w:p w14:paraId="1190EDA2" w14:textId="77777777" w:rsidR="009A601F" w:rsidRPr="00A25F2C" w:rsidRDefault="009A601F" w:rsidP="009A601F">
            <w:pPr>
              <w:pStyle w:val="TableBodyText"/>
              <w:jc w:val="right"/>
            </w:pPr>
            <w:r w:rsidRPr="00A25F2C">
              <w:t>(2.4)</w:t>
            </w:r>
          </w:p>
        </w:tc>
        <w:tc>
          <w:tcPr>
            <w:tcW w:w="543" w:type="pct"/>
          </w:tcPr>
          <w:p w14:paraId="7FF9151F" w14:textId="77777777" w:rsidR="009A601F" w:rsidRPr="00A25F2C" w:rsidRDefault="009A601F" w:rsidP="009A601F">
            <w:pPr>
              <w:pStyle w:val="TableBodyText"/>
              <w:jc w:val="right"/>
            </w:pPr>
            <w:r w:rsidRPr="00A25F2C">
              <w:t>(2.4)</w:t>
            </w:r>
          </w:p>
        </w:tc>
        <w:tc>
          <w:tcPr>
            <w:tcW w:w="543" w:type="pct"/>
          </w:tcPr>
          <w:p w14:paraId="11AC4C16" w14:textId="77777777" w:rsidR="009A601F" w:rsidRPr="00A25F2C" w:rsidRDefault="009A601F" w:rsidP="009A601F">
            <w:pPr>
              <w:pStyle w:val="TableBodyText"/>
              <w:jc w:val="right"/>
            </w:pPr>
            <w:r w:rsidRPr="00A25F2C">
              <w:t>(2.4)</w:t>
            </w:r>
          </w:p>
        </w:tc>
      </w:tr>
      <w:tr w:rsidR="00671EDB" w:rsidRPr="00A25F2C" w14:paraId="3CE03CF3" w14:textId="77777777" w:rsidTr="007467EC">
        <w:tc>
          <w:tcPr>
            <w:tcW w:w="1199" w:type="pct"/>
          </w:tcPr>
          <w:p w14:paraId="1A8D80DA" w14:textId="77777777" w:rsidR="009A601F" w:rsidRPr="00A25F2C" w:rsidRDefault="009A601F" w:rsidP="009A601F">
            <w:pPr>
              <w:pStyle w:val="TableBodyText"/>
            </w:pPr>
            <w:r w:rsidRPr="00A25F2C">
              <w:t>Borrowings</w:t>
            </w:r>
          </w:p>
        </w:tc>
        <w:tc>
          <w:tcPr>
            <w:tcW w:w="543" w:type="pct"/>
          </w:tcPr>
          <w:p w14:paraId="4194E6EA" w14:textId="77777777" w:rsidR="009A601F" w:rsidRPr="00A25F2C" w:rsidRDefault="009A601F" w:rsidP="009A601F">
            <w:pPr>
              <w:pStyle w:val="TableBodyText"/>
              <w:jc w:val="right"/>
            </w:pPr>
            <w:r w:rsidRPr="00A25F2C">
              <w:t>(4,102.2)</w:t>
            </w:r>
          </w:p>
        </w:tc>
        <w:tc>
          <w:tcPr>
            <w:tcW w:w="543" w:type="pct"/>
          </w:tcPr>
          <w:p w14:paraId="086B6FEF" w14:textId="77777777" w:rsidR="009A601F" w:rsidRPr="00A25F2C" w:rsidRDefault="009A601F" w:rsidP="009A601F">
            <w:pPr>
              <w:pStyle w:val="TableBodyText"/>
              <w:jc w:val="right"/>
            </w:pPr>
            <w:r w:rsidRPr="00A25F2C">
              <w:t>(4,585.0)</w:t>
            </w:r>
          </w:p>
        </w:tc>
        <w:tc>
          <w:tcPr>
            <w:tcW w:w="543" w:type="pct"/>
          </w:tcPr>
          <w:p w14:paraId="1CB1DDE5" w14:textId="77777777" w:rsidR="009A601F" w:rsidRPr="00A25F2C" w:rsidRDefault="009A601F" w:rsidP="009A601F">
            <w:pPr>
              <w:pStyle w:val="TableBodyText"/>
              <w:jc w:val="right"/>
            </w:pPr>
            <w:r w:rsidRPr="00A25F2C">
              <w:t>(4,743.1)</w:t>
            </w:r>
          </w:p>
        </w:tc>
        <w:tc>
          <w:tcPr>
            <w:tcW w:w="543" w:type="pct"/>
          </w:tcPr>
          <w:p w14:paraId="6E9A6B43" w14:textId="77777777" w:rsidR="009A601F" w:rsidRPr="00A25F2C" w:rsidRDefault="009A601F" w:rsidP="009A601F">
            <w:pPr>
              <w:pStyle w:val="TableBodyText"/>
              <w:jc w:val="right"/>
            </w:pPr>
            <w:r w:rsidRPr="00A25F2C">
              <w:t>(5,403.7)</w:t>
            </w:r>
          </w:p>
        </w:tc>
        <w:tc>
          <w:tcPr>
            <w:tcW w:w="543" w:type="pct"/>
          </w:tcPr>
          <w:p w14:paraId="3511D7B6" w14:textId="77777777" w:rsidR="009A601F" w:rsidRPr="00A25F2C" w:rsidRDefault="009A601F" w:rsidP="009A601F">
            <w:pPr>
              <w:pStyle w:val="TableBodyText"/>
              <w:jc w:val="right"/>
            </w:pPr>
            <w:r w:rsidRPr="00A25F2C">
              <w:t>(5,863.8)</w:t>
            </w:r>
          </w:p>
        </w:tc>
        <w:tc>
          <w:tcPr>
            <w:tcW w:w="543" w:type="pct"/>
          </w:tcPr>
          <w:p w14:paraId="088D2A07" w14:textId="77777777" w:rsidR="009A601F" w:rsidRPr="00A25F2C" w:rsidRDefault="009A601F" w:rsidP="009A601F">
            <w:pPr>
              <w:pStyle w:val="TableBodyText"/>
              <w:jc w:val="right"/>
            </w:pPr>
            <w:r w:rsidRPr="00A25F2C">
              <w:t>(6,803.4)</w:t>
            </w:r>
          </w:p>
        </w:tc>
        <w:tc>
          <w:tcPr>
            <w:tcW w:w="543" w:type="pct"/>
          </w:tcPr>
          <w:p w14:paraId="2A91F7E8" w14:textId="77777777" w:rsidR="009A601F" w:rsidRPr="00A25F2C" w:rsidRDefault="009A601F" w:rsidP="009A601F">
            <w:pPr>
              <w:pStyle w:val="TableBodyText"/>
              <w:jc w:val="right"/>
            </w:pPr>
            <w:r w:rsidRPr="00A25F2C">
              <w:t>(8,092.6)</w:t>
            </w:r>
          </w:p>
        </w:tc>
      </w:tr>
      <w:tr w:rsidR="00671EDB" w:rsidRPr="00A25F2C" w14:paraId="4CBF3AF2" w14:textId="77777777" w:rsidTr="007467EC">
        <w:tc>
          <w:tcPr>
            <w:tcW w:w="1199" w:type="pct"/>
          </w:tcPr>
          <w:p w14:paraId="018EFC90" w14:textId="77777777" w:rsidR="009A601F" w:rsidRPr="00A25F2C" w:rsidRDefault="009A601F" w:rsidP="009A601F">
            <w:pPr>
              <w:pStyle w:val="TableBodyText"/>
            </w:pPr>
            <w:r w:rsidRPr="00A25F2C">
              <w:t>Employee Entitlements</w:t>
            </w:r>
          </w:p>
        </w:tc>
        <w:tc>
          <w:tcPr>
            <w:tcW w:w="543" w:type="pct"/>
          </w:tcPr>
          <w:p w14:paraId="657BE253" w14:textId="77777777" w:rsidR="009A601F" w:rsidRPr="00A25F2C" w:rsidRDefault="009A601F" w:rsidP="009A601F">
            <w:pPr>
              <w:pStyle w:val="TableBodyText"/>
              <w:jc w:val="right"/>
            </w:pPr>
            <w:r w:rsidRPr="00A25F2C">
              <w:t>(14.0)</w:t>
            </w:r>
          </w:p>
        </w:tc>
        <w:tc>
          <w:tcPr>
            <w:tcW w:w="543" w:type="pct"/>
          </w:tcPr>
          <w:p w14:paraId="5CA664F7" w14:textId="77777777" w:rsidR="009A601F" w:rsidRPr="00A25F2C" w:rsidRDefault="009A601F" w:rsidP="009A601F">
            <w:pPr>
              <w:pStyle w:val="TableBodyText"/>
              <w:jc w:val="right"/>
            </w:pPr>
            <w:r w:rsidRPr="00A25F2C">
              <w:t>(15.3)</w:t>
            </w:r>
          </w:p>
        </w:tc>
        <w:tc>
          <w:tcPr>
            <w:tcW w:w="543" w:type="pct"/>
          </w:tcPr>
          <w:p w14:paraId="767C42BA" w14:textId="77777777" w:rsidR="009A601F" w:rsidRPr="00A25F2C" w:rsidRDefault="009A601F" w:rsidP="009A601F">
            <w:pPr>
              <w:pStyle w:val="TableBodyText"/>
              <w:jc w:val="right"/>
            </w:pPr>
            <w:r w:rsidRPr="00A25F2C">
              <w:t>(14.0)</w:t>
            </w:r>
          </w:p>
        </w:tc>
        <w:tc>
          <w:tcPr>
            <w:tcW w:w="543" w:type="pct"/>
          </w:tcPr>
          <w:p w14:paraId="1818C219" w14:textId="77777777" w:rsidR="009A601F" w:rsidRPr="00A25F2C" w:rsidRDefault="009A601F" w:rsidP="009A601F">
            <w:pPr>
              <w:pStyle w:val="TableBodyText"/>
              <w:jc w:val="right"/>
            </w:pPr>
            <w:r w:rsidRPr="00A25F2C">
              <w:t>(14.0)</w:t>
            </w:r>
          </w:p>
        </w:tc>
        <w:tc>
          <w:tcPr>
            <w:tcW w:w="543" w:type="pct"/>
          </w:tcPr>
          <w:p w14:paraId="08DAFB8C" w14:textId="77777777" w:rsidR="009A601F" w:rsidRPr="00A25F2C" w:rsidRDefault="009A601F" w:rsidP="009A601F">
            <w:pPr>
              <w:pStyle w:val="TableBodyText"/>
              <w:jc w:val="right"/>
            </w:pPr>
            <w:r w:rsidRPr="00A25F2C">
              <w:t>(14.0)</w:t>
            </w:r>
          </w:p>
        </w:tc>
        <w:tc>
          <w:tcPr>
            <w:tcW w:w="543" w:type="pct"/>
          </w:tcPr>
          <w:p w14:paraId="53F0E1C1" w14:textId="77777777" w:rsidR="009A601F" w:rsidRPr="00A25F2C" w:rsidRDefault="009A601F" w:rsidP="009A601F">
            <w:pPr>
              <w:pStyle w:val="TableBodyText"/>
              <w:jc w:val="right"/>
            </w:pPr>
            <w:r w:rsidRPr="00A25F2C">
              <w:t>(14.0)</w:t>
            </w:r>
          </w:p>
        </w:tc>
        <w:tc>
          <w:tcPr>
            <w:tcW w:w="543" w:type="pct"/>
          </w:tcPr>
          <w:p w14:paraId="5B119648" w14:textId="77777777" w:rsidR="009A601F" w:rsidRPr="00A25F2C" w:rsidRDefault="009A601F" w:rsidP="009A601F">
            <w:pPr>
              <w:pStyle w:val="TableBodyText"/>
              <w:jc w:val="right"/>
            </w:pPr>
            <w:r w:rsidRPr="00A25F2C">
              <w:t>(14.0)</w:t>
            </w:r>
          </w:p>
        </w:tc>
      </w:tr>
      <w:tr w:rsidR="00671EDB" w:rsidRPr="00A25F2C" w14:paraId="5712BAFA" w14:textId="77777777" w:rsidTr="007467EC">
        <w:tc>
          <w:tcPr>
            <w:tcW w:w="1199" w:type="pct"/>
          </w:tcPr>
          <w:p w14:paraId="5F453A3E" w14:textId="77777777" w:rsidR="009A601F" w:rsidRPr="00A25F2C" w:rsidRDefault="009A601F" w:rsidP="009A601F">
            <w:pPr>
              <w:pStyle w:val="TableBodyText"/>
            </w:pPr>
            <w:r w:rsidRPr="00A25F2C">
              <w:t>Net Deferred Tax Liability</w:t>
            </w:r>
          </w:p>
        </w:tc>
        <w:tc>
          <w:tcPr>
            <w:tcW w:w="543" w:type="pct"/>
          </w:tcPr>
          <w:p w14:paraId="7DD83EAD" w14:textId="77777777" w:rsidR="009A601F" w:rsidRPr="00A25F2C" w:rsidRDefault="009A601F" w:rsidP="009A601F">
            <w:pPr>
              <w:pStyle w:val="TableBodyText"/>
              <w:jc w:val="right"/>
            </w:pPr>
            <w:r w:rsidRPr="00A25F2C">
              <w:t>(1,257.5)</w:t>
            </w:r>
          </w:p>
        </w:tc>
        <w:tc>
          <w:tcPr>
            <w:tcW w:w="543" w:type="pct"/>
          </w:tcPr>
          <w:p w14:paraId="6BE97119" w14:textId="77777777" w:rsidR="009A601F" w:rsidRPr="00A25F2C" w:rsidRDefault="009A601F" w:rsidP="009A601F">
            <w:pPr>
              <w:pStyle w:val="TableBodyText"/>
              <w:jc w:val="right"/>
            </w:pPr>
            <w:r w:rsidRPr="00A25F2C">
              <w:t>(1,225.0)</w:t>
            </w:r>
          </w:p>
        </w:tc>
        <w:tc>
          <w:tcPr>
            <w:tcW w:w="543" w:type="pct"/>
          </w:tcPr>
          <w:p w14:paraId="75A4CED4" w14:textId="77777777" w:rsidR="009A601F" w:rsidRPr="00A25F2C" w:rsidRDefault="009A601F" w:rsidP="009A601F">
            <w:pPr>
              <w:pStyle w:val="TableBodyText"/>
              <w:jc w:val="right"/>
            </w:pPr>
            <w:r w:rsidRPr="00A25F2C">
              <w:t>(1,224.4)</w:t>
            </w:r>
          </w:p>
        </w:tc>
        <w:tc>
          <w:tcPr>
            <w:tcW w:w="543" w:type="pct"/>
          </w:tcPr>
          <w:p w14:paraId="4E9F99DE" w14:textId="77777777" w:rsidR="009A601F" w:rsidRPr="00A25F2C" w:rsidRDefault="009A601F" w:rsidP="009A601F">
            <w:pPr>
              <w:pStyle w:val="TableBodyText"/>
              <w:jc w:val="right"/>
            </w:pPr>
            <w:r w:rsidRPr="00A25F2C">
              <w:t>(1,199.7)</w:t>
            </w:r>
          </w:p>
        </w:tc>
        <w:tc>
          <w:tcPr>
            <w:tcW w:w="543" w:type="pct"/>
          </w:tcPr>
          <w:p w14:paraId="5BDEC76B" w14:textId="77777777" w:rsidR="009A601F" w:rsidRPr="00A25F2C" w:rsidRDefault="009A601F" w:rsidP="009A601F">
            <w:pPr>
              <w:pStyle w:val="TableBodyText"/>
              <w:jc w:val="right"/>
            </w:pPr>
            <w:r w:rsidRPr="00A25F2C">
              <w:t>(1,178.6)</w:t>
            </w:r>
          </w:p>
        </w:tc>
        <w:tc>
          <w:tcPr>
            <w:tcW w:w="543" w:type="pct"/>
          </w:tcPr>
          <w:p w14:paraId="0C9531AF" w14:textId="77777777" w:rsidR="009A601F" w:rsidRPr="00A25F2C" w:rsidRDefault="009A601F" w:rsidP="009A601F">
            <w:pPr>
              <w:pStyle w:val="TableBodyText"/>
              <w:jc w:val="right"/>
            </w:pPr>
            <w:r w:rsidRPr="00A25F2C">
              <w:t>(1,165.4)</w:t>
            </w:r>
          </w:p>
        </w:tc>
        <w:tc>
          <w:tcPr>
            <w:tcW w:w="543" w:type="pct"/>
          </w:tcPr>
          <w:p w14:paraId="529FC9EF" w14:textId="77777777" w:rsidR="009A601F" w:rsidRPr="00A25F2C" w:rsidRDefault="009A601F" w:rsidP="009A601F">
            <w:pPr>
              <w:pStyle w:val="TableBodyText"/>
              <w:jc w:val="right"/>
            </w:pPr>
            <w:r w:rsidRPr="00A25F2C">
              <w:t>(1,161.9)</w:t>
            </w:r>
          </w:p>
        </w:tc>
      </w:tr>
      <w:tr w:rsidR="00671EDB" w:rsidRPr="00A25F2C" w14:paraId="4DAB5344" w14:textId="77777777" w:rsidTr="007467EC">
        <w:tc>
          <w:tcPr>
            <w:tcW w:w="1199" w:type="pct"/>
          </w:tcPr>
          <w:p w14:paraId="049BEAE8" w14:textId="77777777" w:rsidR="009A601F" w:rsidRPr="00A25F2C" w:rsidRDefault="009A601F" w:rsidP="009A601F">
            <w:pPr>
              <w:pStyle w:val="TableBodyText"/>
            </w:pPr>
            <w:r w:rsidRPr="00A25F2C">
              <w:t>Other Non-Current Liabilities</w:t>
            </w:r>
          </w:p>
        </w:tc>
        <w:tc>
          <w:tcPr>
            <w:tcW w:w="543" w:type="pct"/>
          </w:tcPr>
          <w:p w14:paraId="6C8F70D7" w14:textId="77777777" w:rsidR="009A601F" w:rsidRPr="00A25F2C" w:rsidRDefault="009A601F" w:rsidP="009A601F">
            <w:pPr>
              <w:pStyle w:val="TableBodyText"/>
              <w:jc w:val="right"/>
            </w:pPr>
            <w:r w:rsidRPr="00A25F2C">
              <w:t>(0.2)</w:t>
            </w:r>
          </w:p>
        </w:tc>
        <w:tc>
          <w:tcPr>
            <w:tcW w:w="543" w:type="pct"/>
          </w:tcPr>
          <w:p w14:paraId="55E8C88A" w14:textId="77777777" w:rsidR="009A601F" w:rsidRPr="00A25F2C" w:rsidRDefault="009A601F" w:rsidP="009A601F">
            <w:pPr>
              <w:pStyle w:val="TableBodyText"/>
              <w:jc w:val="right"/>
            </w:pPr>
            <w:r w:rsidRPr="00A25F2C">
              <w:t>(0.7)</w:t>
            </w:r>
          </w:p>
        </w:tc>
        <w:tc>
          <w:tcPr>
            <w:tcW w:w="543" w:type="pct"/>
          </w:tcPr>
          <w:p w14:paraId="5E622747" w14:textId="77777777" w:rsidR="009A601F" w:rsidRPr="00A25F2C" w:rsidRDefault="009A601F" w:rsidP="009A601F">
            <w:pPr>
              <w:pStyle w:val="TableBodyText"/>
              <w:jc w:val="right"/>
            </w:pPr>
            <w:r w:rsidRPr="00A25F2C">
              <w:t>(0.2)</w:t>
            </w:r>
          </w:p>
        </w:tc>
        <w:tc>
          <w:tcPr>
            <w:tcW w:w="543" w:type="pct"/>
          </w:tcPr>
          <w:p w14:paraId="7689C421" w14:textId="77777777" w:rsidR="009A601F" w:rsidRPr="00A25F2C" w:rsidRDefault="009A601F" w:rsidP="009A601F">
            <w:pPr>
              <w:pStyle w:val="TableBodyText"/>
              <w:jc w:val="right"/>
            </w:pPr>
            <w:r w:rsidRPr="00A25F2C">
              <w:t>(0.2)</w:t>
            </w:r>
          </w:p>
        </w:tc>
        <w:tc>
          <w:tcPr>
            <w:tcW w:w="543" w:type="pct"/>
          </w:tcPr>
          <w:p w14:paraId="1E361110" w14:textId="77777777" w:rsidR="009A601F" w:rsidRPr="00A25F2C" w:rsidRDefault="009A601F" w:rsidP="009A601F">
            <w:pPr>
              <w:pStyle w:val="TableBodyText"/>
              <w:jc w:val="right"/>
            </w:pPr>
            <w:r w:rsidRPr="00A25F2C">
              <w:t>(0.2)</w:t>
            </w:r>
          </w:p>
        </w:tc>
        <w:tc>
          <w:tcPr>
            <w:tcW w:w="543" w:type="pct"/>
          </w:tcPr>
          <w:p w14:paraId="1B395C05" w14:textId="77777777" w:rsidR="009A601F" w:rsidRPr="00A25F2C" w:rsidRDefault="009A601F" w:rsidP="009A601F">
            <w:pPr>
              <w:pStyle w:val="TableBodyText"/>
              <w:jc w:val="right"/>
            </w:pPr>
            <w:r w:rsidRPr="00A25F2C">
              <w:t>(0.2)</w:t>
            </w:r>
          </w:p>
        </w:tc>
        <w:tc>
          <w:tcPr>
            <w:tcW w:w="543" w:type="pct"/>
          </w:tcPr>
          <w:p w14:paraId="028BF10E" w14:textId="77777777" w:rsidR="009A601F" w:rsidRPr="00A25F2C" w:rsidRDefault="009A601F" w:rsidP="009A601F">
            <w:pPr>
              <w:pStyle w:val="TableBodyText"/>
              <w:jc w:val="right"/>
            </w:pPr>
            <w:r w:rsidRPr="00A25F2C">
              <w:t>(0.2)</w:t>
            </w:r>
          </w:p>
        </w:tc>
      </w:tr>
      <w:tr w:rsidR="00671EDB" w:rsidRPr="00A25F2C" w14:paraId="2CD3D773" w14:textId="77777777" w:rsidTr="007467EC">
        <w:tc>
          <w:tcPr>
            <w:tcW w:w="1199" w:type="pct"/>
          </w:tcPr>
          <w:p w14:paraId="40A645DA" w14:textId="77777777" w:rsidR="009A601F" w:rsidRPr="00A25F2C" w:rsidRDefault="009A601F" w:rsidP="009A601F">
            <w:pPr>
              <w:pStyle w:val="TableBodyText"/>
            </w:pPr>
            <w:r w:rsidRPr="00A25F2C">
              <w:rPr>
                <w:b/>
              </w:rPr>
              <w:lastRenderedPageBreak/>
              <w:t>Total Non-Current Liabilities</w:t>
            </w:r>
          </w:p>
        </w:tc>
        <w:tc>
          <w:tcPr>
            <w:tcW w:w="543" w:type="pct"/>
          </w:tcPr>
          <w:p w14:paraId="45D28720" w14:textId="77777777" w:rsidR="009A601F" w:rsidRPr="00A25F2C" w:rsidRDefault="009A601F" w:rsidP="009A601F">
            <w:pPr>
              <w:pStyle w:val="TableBodyText"/>
              <w:jc w:val="right"/>
            </w:pPr>
            <w:r w:rsidRPr="00A25F2C">
              <w:rPr>
                <w:b/>
              </w:rPr>
              <w:t>(8,866.5)</w:t>
            </w:r>
          </w:p>
        </w:tc>
        <w:tc>
          <w:tcPr>
            <w:tcW w:w="543" w:type="pct"/>
          </w:tcPr>
          <w:p w14:paraId="3896A2AE" w14:textId="77777777" w:rsidR="009A601F" w:rsidRPr="00A25F2C" w:rsidRDefault="009A601F" w:rsidP="009A601F">
            <w:pPr>
              <w:pStyle w:val="TableBodyText"/>
              <w:jc w:val="right"/>
            </w:pPr>
            <w:r w:rsidRPr="00A25F2C">
              <w:rPr>
                <w:b/>
              </w:rPr>
              <w:t>(9,319.8)</w:t>
            </w:r>
          </w:p>
        </w:tc>
        <w:tc>
          <w:tcPr>
            <w:tcW w:w="543" w:type="pct"/>
          </w:tcPr>
          <w:p w14:paraId="05EBAEB4" w14:textId="77777777" w:rsidR="009A601F" w:rsidRPr="00A25F2C" w:rsidRDefault="009A601F" w:rsidP="009A601F">
            <w:pPr>
              <w:pStyle w:val="TableBodyText"/>
              <w:jc w:val="right"/>
            </w:pPr>
            <w:r w:rsidRPr="00A25F2C">
              <w:rPr>
                <w:b/>
              </w:rPr>
              <w:t>(9,408.1)</w:t>
            </w:r>
          </w:p>
        </w:tc>
        <w:tc>
          <w:tcPr>
            <w:tcW w:w="543" w:type="pct"/>
          </w:tcPr>
          <w:p w14:paraId="3D99D96D" w14:textId="77777777" w:rsidR="009A601F" w:rsidRPr="00A25F2C" w:rsidRDefault="009A601F" w:rsidP="009A601F">
            <w:pPr>
              <w:pStyle w:val="TableBodyText"/>
              <w:jc w:val="right"/>
            </w:pPr>
            <w:r w:rsidRPr="00A25F2C">
              <w:rPr>
                <w:b/>
              </w:rPr>
              <w:t>(9,964.1)</w:t>
            </w:r>
          </w:p>
        </w:tc>
        <w:tc>
          <w:tcPr>
            <w:tcW w:w="543" w:type="pct"/>
          </w:tcPr>
          <w:p w14:paraId="5237009D" w14:textId="77777777" w:rsidR="009A601F" w:rsidRPr="00A25F2C" w:rsidRDefault="009A601F" w:rsidP="009A601F">
            <w:pPr>
              <w:pStyle w:val="TableBodyText"/>
              <w:jc w:val="right"/>
            </w:pPr>
            <w:r w:rsidRPr="00A25F2C">
              <w:rPr>
                <w:b/>
              </w:rPr>
              <w:t>(10,310.2)</w:t>
            </w:r>
          </w:p>
        </w:tc>
        <w:tc>
          <w:tcPr>
            <w:tcW w:w="543" w:type="pct"/>
          </w:tcPr>
          <w:p w14:paraId="231F74F5" w14:textId="77777777" w:rsidR="009A601F" w:rsidRPr="00A25F2C" w:rsidRDefault="009A601F" w:rsidP="009A601F">
            <w:pPr>
              <w:pStyle w:val="TableBodyText"/>
              <w:jc w:val="right"/>
            </w:pPr>
            <w:r w:rsidRPr="00A25F2C">
              <w:rPr>
                <w:b/>
              </w:rPr>
              <w:t>(11,117.7)</w:t>
            </w:r>
          </w:p>
        </w:tc>
        <w:tc>
          <w:tcPr>
            <w:tcW w:w="543" w:type="pct"/>
          </w:tcPr>
          <w:p w14:paraId="08D6A064" w14:textId="77777777" w:rsidR="009A601F" w:rsidRPr="00A25F2C" w:rsidRDefault="009A601F" w:rsidP="009A601F">
            <w:pPr>
              <w:pStyle w:val="TableBodyText"/>
              <w:jc w:val="right"/>
              <w:rPr>
                <w:b/>
              </w:rPr>
            </w:pPr>
            <w:r w:rsidRPr="00A25F2C">
              <w:rPr>
                <w:b/>
              </w:rPr>
              <w:t>(12,261.7)</w:t>
            </w:r>
          </w:p>
        </w:tc>
      </w:tr>
      <w:tr w:rsidR="00671EDB" w:rsidRPr="00A25F2C" w14:paraId="4B7B6C1F" w14:textId="77777777" w:rsidTr="007467EC">
        <w:tc>
          <w:tcPr>
            <w:tcW w:w="1199" w:type="pct"/>
          </w:tcPr>
          <w:p w14:paraId="55FD1651" w14:textId="77777777" w:rsidR="009A601F" w:rsidRPr="00A25F2C" w:rsidRDefault="009A601F" w:rsidP="009A601F">
            <w:pPr>
              <w:pStyle w:val="TableBodyText"/>
            </w:pPr>
            <w:r w:rsidRPr="00A25F2C">
              <w:rPr>
                <w:b/>
              </w:rPr>
              <w:t>TOTAL LIABILITIES</w:t>
            </w:r>
          </w:p>
        </w:tc>
        <w:tc>
          <w:tcPr>
            <w:tcW w:w="543" w:type="pct"/>
          </w:tcPr>
          <w:p w14:paraId="694DFC76" w14:textId="77777777" w:rsidR="009A601F" w:rsidRPr="00A25F2C" w:rsidRDefault="009A601F" w:rsidP="009A601F">
            <w:pPr>
              <w:pStyle w:val="TableBodyText"/>
              <w:jc w:val="right"/>
            </w:pPr>
            <w:r w:rsidRPr="00A25F2C">
              <w:rPr>
                <w:b/>
              </w:rPr>
              <w:t>(10,042.5)</w:t>
            </w:r>
          </w:p>
        </w:tc>
        <w:tc>
          <w:tcPr>
            <w:tcW w:w="543" w:type="pct"/>
          </w:tcPr>
          <w:p w14:paraId="6FDB2F4E" w14:textId="77777777" w:rsidR="009A601F" w:rsidRPr="00A25F2C" w:rsidRDefault="009A601F" w:rsidP="009A601F">
            <w:pPr>
              <w:pStyle w:val="TableBodyText"/>
              <w:jc w:val="right"/>
            </w:pPr>
            <w:r w:rsidRPr="00A25F2C">
              <w:rPr>
                <w:b/>
              </w:rPr>
              <w:t>(10,180.2)</w:t>
            </w:r>
          </w:p>
        </w:tc>
        <w:tc>
          <w:tcPr>
            <w:tcW w:w="543" w:type="pct"/>
          </w:tcPr>
          <w:p w14:paraId="46B2A784" w14:textId="77777777" w:rsidR="009A601F" w:rsidRPr="00A25F2C" w:rsidRDefault="009A601F" w:rsidP="009A601F">
            <w:pPr>
              <w:pStyle w:val="TableBodyText"/>
              <w:jc w:val="right"/>
            </w:pPr>
            <w:r w:rsidRPr="00A25F2C">
              <w:rPr>
                <w:b/>
              </w:rPr>
              <w:t>(10,634.4)</w:t>
            </w:r>
          </w:p>
        </w:tc>
        <w:tc>
          <w:tcPr>
            <w:tcW w:w="543" w:type="pct"/>
          </w:tcPr>
          <w:p w14:paraId="4ED1473F" w14:textId="77777777" w:rsidR="009A601F" w:rsidRPr="00A25F2C" w:rsidRDefault="009A601F" w:rsidP="009A601F">
            <w:pPr>
              <w:pStyle w:val="TableBodyText"/>
              <w:jc w:val="right"/>
            </w:pPr>
            <w:r w:rsidRPr="00A25F2C">
              <w:rPr>
                <w:b/>
              </w:rPr>
              <w:t>(11,231.0)</w:t>
            </w:r>
          </w:p>
        </w:tc>
        <w:tc>
          <w:tcPr>
            <w:tcW w:w="543" w:type="pct"/>
          </w:tcPr>
          <w:p w14:paraId="4DA722FD" w14:textId="77777777" w:rsidR="009A601F" w:rsidRPr="00A25F2C" w:rsidRDefault="009A601F" w:rsidP="009A601F">
            <w:pPr>
              <w:pStyle w:val="TableBodyText"/>
              <w:jc w:val="right"/>
            </w:pPr>
            <w:r w:rsidRPr="00A25F2C">
              <w:rPr>
                <w:b/>
              </w:rPr>
              <w:t>(11,525.9)</w:t>
            </w:r>
          </w:p>
        </w:tc>
        <w:tc>
          <w:tcPr>
            <w:tcW w:w="543" w:type="pct"/>
          </w:tcPr>
          <w:p w14:paraId="1FF61B5B" w14:textId="77777777" w:rsidR="009A601F" w:rsidRPr="00A25F2C" w:rsidRDefault="009A601F" w:rsidP="009A601F">
            <w:pPr>
              <w:pStyle w:val="TableBodyText"/>
              <w:jc w:val="right"/>
            </w:pPr>
            <w:r w:rsidRPr="00A25F2C">
              <w:rPr>
                <w:b/>
              </w:rPr>
              <w:t>(12,440.6)</w:t>
            </w:r>
          </w:p>
        </w:tc>
        <w:tc>
          <w:tcPr>
            <w:tcW w:w="543" w:type="pct"/>
          </w:tcPr>
          <w:p w14:paraId="3F842490" w14:textId="77777777" w:rsidR="009A601F" w:rsidRPr="00A25F2C" w:rsidRDefault="009A601F" w:rsidP="009A601F">
            <w:pPr>
              <w:pStyle w:val="TableBodyText"/>
              <w:jc w:val="right"/>
              <w:rPr>
                <w:b/>
              </w:rPr>
            </w:pPr>
            <w:r w:rsidRPr="00A25F2C">
              <w:rPr>
                <w:b/>
              </w:rPr>
              <w:t>(13,666.1)</w:t>
            </w:r>
          </w:p>
        </w:tc>
      </w:tr>
      <w:tr w:rsidR="00335623" w:rsidRPr="00A25F2C" w14:paraId="552FEB0E" w14:textId="77777777" w:rsidTr="007467EC">
        <w:tc>
          <w:tcPr>
            <w:tcW w:w="1199" w:type="pct"/>
          </w:tcPr>
          <w:p w14:paraId="58EFC9DC" w14:textId="77777777" w:rsidR="00335623" w:rsidRPr="00A25F2C" w:rsidRDefault="00335623" w:rsidP="00335623">
            <w:pPr>
              <w:pStyle w:val="TableBodyText"/>
              <w:rPr>
                <w:b/>
              </w:rPr>
            </w:pPr>
            <w:r w:rsidRPr="00A25F2C">
              <w:rPr>
                <w:b/>
              </w:rPr>
              <w:t>Equity</w:t>
            </w:r>
          </w:p>
        </w:tc>
        <w:tc>
          <w:tcPr>
            <w:tcW w:w="543" w:type="pct"/>
          </w:tcPr>
          <w:p w14:paraId="021FECA5" w14:textId="3ECD0D6C" w:rsidR="00335623" w:rsidRPr="00A25F2C" w:rsidRDefault="00995D31" w:rsidP="00335623">
            <w:pPr>
              <w:spacing w:before="0" w:after="0"/>
              <w:jc w:val="right"/>
            </w:pPr>
            <w:r>
              <w:t>N/A</w:t>
            </w:r>
          </w:p>
        </w:tc>
        <w:tc>
          <w:tcPr>
            <w:tcW w:w="543" w:type="pct"/>
          </w:tcPr>
          <w:p w14:paraId="76CCCF28" w14:textId="25768803" w:rsidR="00335623" w:rsidRPr="00A25F2C" w:rsidRDefault="00995D31" w:rsidP="00335623">
            <w:pPr>
              <w:pStyle w:val="TableBodyText"/>
              <w:jc w:val="right"/>
            </w:pPr>
            <w:r>
              <w:t>N/A</w:t>
            </w:r>
          </w:p>
        </w:tc>
        <w:tc>
          <w:tcPr>
            <w:tcW w:w="543" w:type="pct"/>
          </w:tcPr>
          <w:p w14:paraId="2A342718" w14:textId="4973066A" w:rsidR="00335623" w:rsidRPr="00A25F2C" w:rsidRDefault="00995D31" w:rsidP="00335623">
            <w:pPr>
              <w:pStyle w:val="TableBodyText"/>
              <w:jc w:val="right"/>
            </w:pPr>
            <w:r>
              <w:t>N/A</w:t>
            </w:r>
          </w:p>
        </w:tc>
        <w:tc>
          <w:tcPr>
            <w:tcW w:w="543" w:type="pct"/>
          </w:tcPr>
          <w:p w14:paraId="2DCC9D69" w14:textId="47F3F83B" w:rsidR="00335623" w:rsidRPr="00A25F2C" w:rsidRDefault="00995D31" w:rsidP="00335623">
            <w:pPr>
              <w:pStyle w:val="TableBodyText"/>
              <w:jc w:val="right"/>
            </w:pPr>
            <w:r>
              <w:t>N/A</w:t>
            </w:r>
          </w:p>
        </w:tc>
        <w:tc>
          <w:tcPr>
            <w:tcW w:w="543" w:type="pct"/>
          </w:tcPr>
          <w:p w14:paraId="1DBF88E2" w14:textId="4DC4E109" w:rsidR="00335623" w:rsidRPr="00A25F2C" w:rsidRDefault="00995D31" w:rsidP="00335623">
            <w:pPr>
              <w:pStyle w:val="TableBodyText"/>
              <w:jc w:val="right"/>
            </w:pPr>
            <w:r>
              <w:t>N/A</w:t>
            </w:r>
          </w:p>
        </w:tc>
        <w:tc>
          <w:tcPr>
            <w:tcW w:w="543" w:type="pct"/>
          </w:tcPr>
          <w:p w14:paraId="57F3015E" w14:textId="51F6456E" w:rsidR="00335623" w:rsidRPr="00A25F2C" w:rsidRDefault="00995D31" w:rsidP="00335623">
            <w:pPr>
              <w:pStyle w:val="TableBodyText"/>
              <w:jc w:val="right"/>
            </w:pPr>
            <w:r>
              <w:t>N/A</w:t>
            </w:r>
          </w:p>
        </w:tc>
        <w:tc>
          <w:tcPr>
            <w:tcW w:w="543" w:type="pct"/>
          </w:tcPr>
          <w:p w14:paraId="1DC622C0" w14:textId="792E3091" w:rsidR="00335623" w:rsidRPr="00A25F2C" w:rsidRDefault="00995D31" w:rsidP="00335623">
            <w:pPr>
              <w:pStyle w:val="TableBodyText"/>
              <w:jc w:val="right"/>
            </w:pPr>
            <w:r>
              <w:t>N/A</w:t>
            </w:r>
          </w:p>
        </w:tc>
      </w:tr>
      <w:tr w:rsidR="00671EDB" w:rsidRPr="00A25F2C" w14:paraId="57507B1C" w14:textId="77777777" w:rsidTr="007467EC">
        <w:tc>
          <w:tcPr>
            <w:tcW w:w="1199" w:type="pct"/>
          </w:tcPr>
          <w:p w14:paraId="2A59579F" w14:textId="77777777" w:rsidR="009A601F" w:rsidRPr="00A25F2C" w:rsidRDefault="009A601F" w:rsidP="009A601F">
            <w:pPr>
              <w:pStyle w:val="TableBodyText"/>
            </w:pPr>
            <w:r w:rsidRPr="00A25F2C">
              <w:t>Contributed Equity</w:t>
            </w:r>
          </w:p>
        </w:tc>
        <w:tc>
          <w:tcPr>
            <w:tcW w:w="543" w:type="pct"/>
          </w:tcPr>
          <w:p w14:paraId="408338F1" w14:textId="77777777" w:rsidR="009A601F" w:rsidRPr="00A25F2C" w:rsidRDefault="009A601F" w:rsidP="009A601F">
            <w:pPr>
              <w:pStyle w:val="TableBodyText"/>
              <w:jc w:val="right"/>
            </w:pPr>
            <w:r w:rsidRPr="00A25F2C">
              <w:t>(430.2)</w:t>
            </w:r>
          </w:p>
        </w:tc>
        <w:tc>
          <w:tcPr>
            <w:tcW w:w="543" w:type="pct"/>
          </w:tcPr>
          <w:p w14:paraId="052C48A6" w14:textId="77777777" w:rsidR="009A601F" w:rsidRPr="00A25F2C" w:rsidRDefault="009A601F" w:rsidP="009A601F">
            <w:pPr>
              <w:pStyle w:val="TableBodyText"/>
              <w:jc w:val="right"/>
            </w:pPr>
            <w:r w:rsidRPr="00A25F2C">
              <w:t>(427.1)</w:t>
            </w:r>
          </w:p>
        </w:tc>
        <w:tc>
          <w:tcPr>
            <w:tcW w:w="543" w:type="pct"/>
          </w:tcPr>
          <w:p w14:paraId="0EEBCCA5" w14:textId="77777777" w:rsidR="009A601F" w:rsidRPr="00A25F2C" w:rsidRDefault="009A601F" w:rsidP="009A601F">
            <w:pPr>
              <w:pStyle w:val="TableBodyText"/>
              <w:jc w:val="right"/>
            </w:pPr>
            <w:r w:rsidRPr="00A25F2C">
              <w:t>(389.8)</w:t>
            </w:r>
          </w:p>
        </w:tc>
        <w:tc>
          <w:tcPr>
            <w:tcW w:w="543" w:type="pct"/>
          </w:tcPr>
          <w:p w14:paraId="07167C3C" w14:textId="77777777" w:rsidR="009A601F" w:rsidRPr="00A25F2C" w:rsidRDefault="009A601F" w:rsidP="009A601F">
            <w:pPr>
              <w:pStyle w:val="TableBodyText"/>
              <w:jc w:val="right"/>
            </w:pPr>
            <w:r w:rsidRPr="00A25F2C">
              <w:t>(389.8)</w:t>
            </w:r>
          </w:p>
        </w:tc>
        <w:tc>
          <w:tcPr>
            <w:tcW w:w="543" w:type="pct"/>
          </w:tcPr>
          <w:p w14:paraId="04A8B64F" w14:textId="77777777" w:rsidR="009A601F" w:rsidRPr="00A25F2C" w:rsidRDefault="009A601F" w:rsidP="009A601F">
            <w:pPr>
              <w:pStyle w:val="TableBodyText"/>
              <w:jc w:val="right"/>
            </w:pPr>
            <w:r w:rsidRPr="00A25F2C">
              <w:t>(389.8)</w:t>
            </w:r>
          </w:p>
        </w:tc>
        <w:tc>
          <w:tcPr>
            <w:tcW w:w="543" w:type="pct"/>
          </w:tcPr>
          <w:p w14:paraId="5766A421" w14:textId="77777777" w:rsidR="009A601F" w:rsidRPr="00A25F2C" w:rsidRDefault="009A601F" w:rsidP="009A601F">
            <w:pPr>
              <w:pStyle w:val="TableBodyText"/>
              <w:jc w:val="right"/>
            </w:pPr>
            <w:r w:rsidRPr="00A25F2C">
              <w:t>(389.8)</w:t>
            </w:r>
          </w:p>
        </w:tc>
        <w:tc>
          <w:tcPr>
            <w:tcW w:w="543" w:type="pct"/>
          </w:tcPr>
          <w:p w14:paraId="17B35F02" w14:textId="77777777" w:rsidR="009A601F" w:rsidRPr="00A25F2C" w:rsidRDefault="009A601F" w:rsidP="009A601F">
            <w:pPr>
              <w:pStyle w:val="TableBodyText"/>
              <w:jc w:val="right"/>
            </w:pPr>
            <w:r w:rsidRPr="00A25F2C">
              <w:t>(389.8)</w:t>
            </w:r>
          </w:p>
        </w:tc>
      </w:tr>
      <w:tr w:rsidR="00671EDB" w:rsidRPr="00A25F2C" w14:paraId="1BD701BA" w14:textId="77777777" w:rsidTr="007467EC">
        <w:tc>
          <w:tcPr>
            <w:tcW w:w="1199" w:type="pct"/>
          </w:tcPr>
          <w:p w14:paraId="458FC188" w14:textId="77777777" w:rsidR="009A601F" w:rsidRPr="00A25F2C" w:rsidRDefault="009A601F" w:rsidP="009A601F">
            <w:pPr>
              <w:pStyle w:val="TableBodyText"/>
            </w:pPr>
            <w:r w:rsidRPr="00A25F2C">
              <w:t>Asset Revaluation Reserves</w:t>
            </w:r>
          </w:p>
        </w:tc>
        <w:tc>
          <w:tcPr>
            <w:tcW w:w="543" w:type="pct"/>
          </w:tcPr>
          <w:p w14:paraId="37004883" w14:textId="77777777" w:rsidR="009A601F" w:rsidRPr="00A25F2C" w:rsidRDefault="009A601F" w:rsidP="009A601F">
            <w:pPr>
              <w:pStyle w:val="TableBodyText"/>
              <w:jc w:val="right"/>
            </w:pPr>
            <w:r w:rsidRPr="00A25F2C">
              <w:t>(3,926.4)</w:t>
            </w:r>
          </w:p>
        </w:tc>
        <w:tc>
          <w:tcPr>
            <w:tcW w:w="543" w:type="pct"/>
          </w:tcPr>
          <w:p w14:paraId="20EA95B8" w14:textId="77777777" w:rsidR="009A601F" w:rsidRPr="00A25F2C" w:rsidRDefault="009A601F" w:rsidP="009A601F">
            <w:pPr>
              <w:pStyle w:val="TableBodyText"/>
              <w:jc w:val="right"/>
            </w:pPr>
            <w:r w:rsidRPr="00A25F2C">
              <w:t>(3,634.7)</w:t>
            </w:r>
          </w:p>
        </w:tc>
        <w:tc>
          <w:tcPr>
            <w:tcW w:w="543" w:type="pct"/>
          </w:tcPr>
          <w:p w14:paraId="627E7C4C" w14:textId="77777777" w:rsidR="009A601F" w:rsidRPr="00A25F2C" w:rsidRDefault="009A601F" w:rsidP="009A601F">
            <w:pPr>
              <w:pStyle w:val="TableBodyText"/>
              <w:jc w:val="right"/>
            </w:pPr>
            <w:r w:rsidRPr="00A25F2C">
              <w:t>(3,926.4)</w:t>
            </w:r>
          </w:p>
        </w:tc>
        <w:tc>
          <w:tcPr>
            <w:tcW w:w="543" w:type="pct"/>
          </w:tcPr>
          <w:p w14:paraId="29736240" w14:textId="77777777" w:rsidR="009A601F" w:rsidRPr="00A25F2C" w:rsidRDefault="009A601F" w:rsidP="009A601F">
            <w:pPr>
              <w:pStyle w:val="TableBodyText"/>
              <w:jc w:val="right"/>
            </w:pPr>
            <w:r w:rsidRPr="00A25F2C">
              <w:t>(3,926.4)</w:t>
            </w:r>
          </w:p>
        </w:tc>
        <w:tc>
          <w:tcPr>
            <w:tcW w:w="543" w:type="pct"/>
          </w:tcPr>
          <w:p w14:paraId="4A8D07A4" w14:textId="77777777" w:rsidR="009A601F" w:rsidRPr="00A25F2C" w:rsidRDefault="009A601F" w:rsidP="009A601F">
            <w:pPr>
              <w:pStyle w:val="TableBodyText"/>
              <w:jc w:val="right"/>
            </w:pPr>
            <w:r w:rsidRPr="00A25F2C">
              <w:t>(3,926.4)</w:t>
            </w:r>
          </w:p>
        </w:tc>
        <w:tc>
          <w:tcPr>
            <w:tcW w:w="543" w:type="pct"/>
          </w:tcPr>
          <w:p w14:paraId="1F6B08FB" w14:textId="77777777" w:rsidR="009A601F" w:rsidRPr="00A25F2C" w:rsidRDefault="009A601F" w:rsidP="009A601F">
            <w:pPr>
              <w:pStyle w:val="TableBodyText"/>
              <w:jc w:val="right"/>
            </w:pPr>
            <w:r w:rsidRPr="00A25F2C">
              <w:t>(3,926.4)</w:t>
            </w:r>
          </w:p>
        </w:tc>
        <w:tc>
          <w:tcPr>
            <w:tcW w:w="543" w:type="pct"/>
          </w:tcPr>
          <w:p w14:paraId="684435F6" w14:textId="77777777" w:rsidR="009A601F" w:rsidRPr="00A25F2C" w:rsidRDefault="009A601F" w:rsidP="009A601F">
            <w:pPr>
              <w:pStyle w:val="TableBodyText"/>
              <w:jc w:val="right"/>
            </w:pPr>
            <w:r w:rsidRPr="00A25F2C">
              <w:t>(3,926.4)</w:t>
            </w:r>
          </w:p>
        </w:tc>
      </w:tr>
      <w:tr w:rsidR="00671EDB" w:rsidRPr="00A25F2C" w14:paraId="52866EEE" w14:textId="77777777" w:rsidTr="007467EC">
        <w:tc>
          <w:tcPr>
            <w:tcW w:w="1199" w:type="pct"/>
          </w:tcPr>
          <w:p w14:paraId="2269EA81" w14:textId="77777777" w:rsidR="009A601F" w:rsidRPr="00A25F2C" w:rsidRDefault="009A601F" w:rsidP="009A601F">
            <w:pPr>
              <w:pStyle w:val="TableBodyText"/>
            </w:pPr>
            <w:r w:rsidRPr="00A25F2C">
              <w:t>Retained Profit</w:t>
            </w:r>
          </w:p>
        </w:tc>
        <w:tc>
          <w:tcPr>
            <w:tcW w:w="543" w:type="pct"/>
          </w:tcPr>
          <w:p w14:paraId="5456179A" w14:textId="77777777" w:rsidR="009A601F" w:rsidRPr="00A25F2C" w:rsidRDefault="009A601F" w:rsidP="009A601F">
            <w:pPr>
              <w:pStyle w:val="TableBodyText"/>
              <w:jc w:val="right"/>
            </w:pPr>
            <w:r w:rsidRPr="00A25F2C">
              <w:t>(2,729.5)</w:t>
            </w:r>
          </w:p>
        </w:tc>
        <w:tc>
          <w:tcPr>
            <w:tcW w:w="543" w:type="pct"/>
          </w:tcPr>
          <w:p w14:paraId="05D44664" w14:textId="77777777" w:rsidR="009A601F" w:rsidRPr="00A25F2C" w:rsidRDefault="009A601F" w:rsidP="009A601F">
            <w:pPr>
              <w:pStyle w:val="TableBodyText"/>
              <w:jc w:val="right"/>
            </w:pPr>
            <w:r w:rsidRPr="00A25F2C">
              <w:t>(2,671.6)</w:t>
            </w:r>
          </w:p>
        </w:tc>
        <w:tc>
          <w:tcPr>
            <w:tcW w:w="543" w:type="pct"/>
          </w:tcPr>
          <w:p w14:paraId="3B9D1CD5" w14:textId="77777777" w:rsidR="009A601F" w:rsidRPr="00A25F2C" w:rsidRDefault="009A601F" w:rsidP="009A601F">
            <w:pPr>
              <w:pStyle w:val="TableBodyText"/>
              <w:jc w:val="right"/>
            </w:pPr>
            <w:r w:rsidRPr="00A25F2C">
              <w:t>(2,846.2)</w:t>
            </w:r>
          </w:p>
        </w:tc>
        <w:tc>
          <w:tcPr>
            <w:tcW w:w="543" w:type="pct"/>
          </w:tcPr>
          <w:p w14:paraId="1567DB31" w14:textId="77777777" w:rsidR="009A601F" w:rsidRPr="00A25F2C" w:rsidRDefault="009A601F" w:rsidP="009A601F">
            <w:pPr>
              <w:pStyle w:val="TableBodyText"/>
              <w:jc w:val="right"/>
            </w:pPr>
            <w:r w:rsidRPr="00A25F2C">
              <w:t>(2,916.0)</w:t>
            </w:r>
          </w:p>
        </w:tc>
        <w:tc>
          <w:tcPr>
            <w:tcW w:w="543" w:type="pct"/>
          </w:tcPr>
          <w:p w14:paraId="4C50A909" w14:textId="77777777" w:rsidR="009A601F" w:rsidRPr="00A25F2C" w:rsidRDefault="009A601F" w:rsidP="009A601F">
            <w:pPr>
              <w:pStyle w:val="TableBodyText"/>
              <w:jc w:val="right"/>
            </w:pPr>
            <w:r w:rsidRPr="00A25F2C">
              <w:t>(3,028.5)</w:t>
            </w:r>
          </w:p>
        </w:tc>
        <w:tc>
          <w:tcPr>
            <w:tcW w:w="543" w:type="pct"/>
          </w:tcPr>
          <w:p w14:paraId="4D71ADFD" w14:textId="77777777" w:rsidR="009A601F" w:rsidRPr="00A25F2C" w:rsidRDefault="009A601F" w:rsidP="009A601F">
            <w:pPr>
              <w:pStyle w:val="TableBodyText"/>
              <w:jc w:val="right"/>
            </w:pPr>
            <w:r w:rsidRPr="00A25F2C">
              <w:t>(3,119.1)</w:t>
            </w:r>
          </w:p>
        </w:tc>
        <w:tc>
          <w:tcPr>
            <w:tcW w:w="543" w:type="pct"/>
          </w:tcPr>
          <w:p w14:paraId="1D2C9615" w14:textId="77777777" w:rsidR="009A601F" w:rsidRPr="00A25F2C" w:rsidRDefault="009A601F" w:rsidP="009A601F">
            <w:pPr>
              <w:pStyle w:val="TableBodyText"/>
              <w:jc w:val="right"/>
            </w:pPr>
            <w:r w:rsidRPr="00A25F2C">
              <w:t>(3,169.5)</w:t>
            </w:r>
          </w:p>
        </w:tc>
      </w:tr>
      <w:tr w:rsidR="00671EDB" w:rsidRPr="00A25F2C" w14:paraId="5DDFE40A" w14:textId="77777777" w:rsidTr="007467EC">
        <w:tc>
          <w:tcPr>
            <w:tcW w:w="1199" w:type="pct"/>
          </w:tcPr>
          <w:p w14:paraId="0A5A8F5C" w14:textId="77777777" w:rsidR="009A601F" w:rsidRPr="00A25F2C" w:rsidRDefault="009A601F" w:rsidP="009A601F">
            <w:pPr>
              <w:pStyle w:val="TableBodyText"/>
            </w:pPr>
            <w:r w:rsidRPr="00A25F2C">
              <w:rPr>
                <w:b/>
              </w:rPr>
              <w:t>Total Equity</w:t>
            </w:r>
          </w:p>
        </w:tc>
        <w:tc>
          <w:tcPr>
            <w:tcW w:w="543" w:type="pct"/>
          </w:tcPr>
          <w:p w14:paraId="4F3A694E" w14:textId="77777777" w:rsidR="009A601F" w:rsidRPr="00A25F2C" w:rsidRDefault="009A601F" w:rsidP="009A601F">
            <w:pPr>
              <w:pStyle w:val="TableBodyText"/>
              <w:jc w:val="right"/>
            </w:pPr>
            <w:r w:rsidRPr="00A25F2C">
              <w:rPr>
                <w:b/>
              </w:rPr>
              <w:t>(7,086.1)</w:t>
            </w:r>
          </w:p>
        </w:tc>
        <w:tc>
          <w:tcPr>
            <w:tcW w:w="543" w:type="pct"/>
          </w:tcPr>
          <w:p w14:paraId="0EE6A79C" w14:textId="77777777" w:rsidR="009A601F" w:rsidRPr="00A25F2C" w:rsidRDefault="009A601F" w:rsidP="009A601F">
            <w:pPr>
              <w:pStyle w:val="TableBodyText"/>
              <w:jc w:val="right"/>
            </w:pPr>
            <w:r w:rsidRPr="00A25F2C">
              <w:rPr>
                <w:b/>
              </w:rPr>
              <w:t>(6,733.4)</w:t>
            </w:r>
          </w:p>
        </w:tc>
        <w:tc>
          <w:tcPr>
            <w:tcW w:w="543" w:type="pct"/>
          </w:tcPr>
          <w:p w14:paraId="41B8D015" w14:textId="77777777" w:rsidR="009A601F" w:rsidRPr="00A25F2C" w:rsidRDefault="009A601F" w:rsidP="009A601F">
            <w:pPr>
              <w:pStyle w:val="TableBodyText"/>
              <w:jc w:val="right"/>
            </w:pPr>
            <w:r w:rsidRPr="00A25F2C">
              <w:rPr>
                <w:b/>
              </w:rPr>
              <w:t>(7,162.4)</w:t>
            </w:r>
          </w:p>
        </w:tc>
        <w:tc>
          <w:tcPr>
            <w:tcW w:w="543" w:type="pct"/>
          </w:tcPr>
          <w:p w14:paraId="6A13893F" w14:textId="77777777" w:rsidR="009A601F" w:rsidRPr="00A25F2C" w:rsidRDefault="009A601F" w:rsidP="009A601F">
            <w:pPr>
              <w:pStyle w:val="TableBodyText"/>
              <w:jc w:val="right"/>
            </w:pPr>
            <w:r w:rsidRPr="00A25F2C">
              <w:rPr>
                <w:b/>
              </w:rPr>
              <w:t>(7,232.2)</w:t>
            </w:r>
          </w:p>
        </w:tc>
        <w:tc>
          <w:tcPr>
            <w:tcW w:w="543" w:type="pct"/>
          </w:tcPr>
          <w:p w14:paraId="0A852B01" w14:textId="77777777" w:rsidR="009A601F" w:rsidRPr="00A25F2C" w:rsidRDefault="009A601F" w:rsidP="009A601F">
            <w:pPr>
              <w:pStyle w:val="TableBodyText"/>
              <w:jc w:val="right"/>
            </w:pPr>
            <w:r w:rsidRPr="00A25F2C">
              <w:rPr>
                <w:b/>
              </w:rPr>
              <w:t>(7,344.7)</w:t>
            </w:r>
          </w:p>
        </w:tc>
        <w:tc>
          <w:tcPr>
            <w:tcW w:w="543" w:type="pct"/>
          </w:tcPr>
          <w:p w14:paraId="31CF752B" w14:textId="77777777" w:rsidR="009A601F" w:rsidRPr="00A25F2C" w:rsidRDefault="009A601F" w:rsidP="009A601F">
            <w:pPr>
              <w:pStyle w:val="TableBodyText"/>
              <w:jc w:val="right"/>
            </w:pPr>
            <w:r w:rsidRPr="00A25F2C">
              <w:rPr>
                <w:b/>
              </w:rPr>
              <w:t>(7,435.3)</w:t>
            </w:r>
          </w:p>
        </w:tc>
        <w:tc>
          <w:tcPr>
            <w:tcW w:w="543" w:type="pct"/>
          </w:tcPr>
          <w:p w14:paraId="7ECEC81C" w14:textId="77777777" w:rsidR="009A601F" w:rsidRPr="00A25F2C" w:rsidRDefault="009A601F" w:rsidP="009A601F">
            <w:pPr>
              <w:pStyle w:val="TableBodyText"/>
              <w:jc w:val="right"/>
              <w:rPr>
                <w:b/>
              </w:rPr>
            </w:pPr>
            <w:r w:rsidRPr="00A25F2C">
              <w:rPr>
                <w:b/>
              </w:rPr>
              <w:t>(7,485.7)</w:t>
            </w:r>
          </w:p>
        </w:tc>
      </w:tr>
      <w:tr w:rsidR="00671EDB" w:rsidRPr="00A25F2C" w14:paraId="00207F31" w14:textId="77777777" w:rsidTr="007467EC">
        <w:tc>
          <w:tcPr>
            <w:tcW w:w="1199" w:type="pct"/>
          </w:tcPr>
          <w:p w14:paraId="713C35DC" w14:textId="4B2C068C" w:rsidR="009A601F" w:rsidRPr="00A25F2C" w:rsidRDefault="00E65500" w:rsidP="009A601F">
            <w:pPr>
              <w:pStyle w:val="TableBodyText"/>
            </w:pPr>
            <w:r w:rsidRPr="00A25F2C">
              <w:rPr>
                <w:b/>
              </w:rPr>
              <w:t>Net Assets/Equity</w:t>
            </w:r>
          </w:p>
        </w:tc>
        <w:tc>
          <w:tcPr>
            <w:tcW w:w="543" w:type="pct"/>
          </w:tcPr>
          <w:p w14:paraId="2DEB3E25" w14:textId="77777777" w:rsidR="009A601F" w:rsidRPr="00A25F2C" w:rsidRDefault="009A601F" w:rsidP="009A601F">
            <w:pPr>
              <w:pStyle w:val="TableBodyText"/>
              <w:jc w:val="right"/>
            </w:pPr>
            <w:r w:rsidRPr="00A25F2C">
              <w:rPr>
                <w:b/>
              </w:rPr>
              <w:t>7,086.1</w:t>
            </w:r>
          </w:p>
        </w:tc>
        <w:tc>
          <w:tcPr>
            <w:tcW w:w="543" w:type="pct"/>
          </w:tcPr>
          <w:p w14:paraId="34BBE9C8" w14:textId="77777777" w:rsidR="009A601F" w:rsidRPr="00A25F2C" w:rsidRDefault="009A601F" w:rsidP="009A601F">
            <w:pPr>
              <w:pStyle w:val="TableBodyText"/>
              <w:jc w:val="right"/>
            </w:pPr>
            <w:r w:rsidRPr="00A25F2C">
              <w:rPr>
                <w:b/>
              </w:rPr>
              <w:t>6,733.4</w:t>
            </w:r>
          </w:p>
        </w:tc>
        <w:tc>
          <w:tcPr>
            <w:tcW w:w="543" w:type="pct"/>
          </w:tcPr>
          <w:p w14:paraId="28047D6B" w14:textId="77777777" w:rsidR="009A601F" w:rsidRPr="00A25F2C" w:rsidRDefault="009A601F" w:rsidP="009A601F">
            <w:pPr>
              <w:pStyle w:val="TableBodyText"/>
              <w:jc w:val="right"/>
            </w:pPr>
            <w:r w:rsidRPr="00A25F2C">
              <w:rPr>
                <w:b/>
              </w:rPr>
              <w:t>7,162.4</w:t>
            </w:r>
          </w:p>
        </w:tc>
        <w:tc>
          <w:tcPr>
            <w:tcW w:w="543" w:type="pct"/>
          </w:tcPr>
          <w:p w14:paraId="4F4C2A97" w14:textId="77777777" w:rsidR="009A601F" w:rsidRPr="00A25F2C" w:rsidRDefault="009A601F" w:rsidP="009A601F">
            <w:pPr>
              <w:pStyle w:val="TableBodyText"/>
              <w:jc w:val="right"/>
            </w:pPr>
            <w:r w:rsidRPr="00A25F2C">
              <w:rPr>
                <w:b/>
              </w:rPr>
              <w:t>7,232.2</w:t>
            </w:r>
          </w:p>
        </w:tc>
        <w:tc>
          <w:tcPr>
            <w:tcW w:w="543" w:type="pct"/>
          </w:tcPr>
          <w:p w14:paraId="380ACFF4" w14:textId="77777777" w:rsidR="009A601F" w:rsidRPr="00A25F2C" w:rsidRDefault="009A601F" w:rsidP="009A601F">
            <w:pPr>
              <w:pStyle w:val="TableBodyText"/>
              <w:jc w:val="right"/>
            </w:pPr>
            <w:r w:rsidRPr="00A25F2C">
              <w:rPr>
                <w:b/>
              </w:rPr>
              <w:t>7,344.7</w:t>
            </w:r>
          </w:p>
        </w:tc>
        <w:tc>
          <w:tcPr>
            <w:tcW w:w="543" w:type="pct"/>
          </w:tcPr>
          <w:p w14:paraId="11D8891A" w14:textId="77777777" w:rsidR="009A601F" w:rsidRPr="00A25F2C" w:rsidRDefault="009A601F" w:rsidP="009A601F">
            <w:pPr>
              <w:pStyle w:val="TableBodyText"/>
              <w:jc w:val="right"/>
            </w:pPr>
            <w:r w:rsidRPr="00A25F2C">
              <w:rPr>
                <w:b/>
              </w:rPr>
              <w:t>7,435.3</w:t>
            </w:r>
          </w:p>
        </w:tc>
        <w:tc>
          <w:tcPr>
            <w:tcW w:w="543" w:type="pct"/>
          </w:tcPr>
          <w:p w14:paraId="3B106C88" w14:textId="77777777" w:rsidR="009A601F" w:rsidRPr="00A25F2C" w:rsidRDefault="009A601F" w:rsidP="009A601F">
            <w:pPr>
              <w:pStyle w:val="TableBodyText"/>
              <w:jc w:val="right"/>
              <w:rPr>
                <w:b/>
              </w:rPr>
            </w:pPr>
            <w:r w:rsidRPr="00A25F2C">
              <w:rPr>
                <w:b/>
              </w:rPr>
              <w:t>7,485.7</w:t>
            </w:r>
          </w:p>
        </w:tc>
      </w:tr>
    </w:tbl>
    <w:p w14:paraId="4A29F8C6" w14:textId="4E22975C" w:rsidR="00143D6B" w:rsidRDefault="007F4791" w:rsidP="007F4791">
      <w:pPr>
        <w:pStyle w:val="BodyText"/>
      </w:pPr>
      <w:r w:rsidRPr="00A25F2C">
        <w:t>All tables subject to rounding</w:t>
      </w:r>
      <w:r w:rsidR="0086694E">
        <w:t>.</w:t>
      </w:r>
    </w:p>
    <w:tbl>
      <w:tblPr>
        <w:tblStyle w:val="TableProfessional"/>
        <w:tblW w:w="5000" w:type="pct"/>
        <w:tblLook w:val="0620" w:firstRow="1" w:lastRow="0" w:firstColumn="0" w:lastColumn="0" w:noHBand="1" w:noVBand="1"/>
      </w:tblPr>
      <w:tblGrid>
        <w:gridCol w:w="2754"/>
        <w:gridCol w:w="983"/>
        <w:gridCol w:w="983"/>
        <w:gridCol w:w="983"/>
        <w:gridCol w:w="982"/>
        <w:gridCol w:w="982"/>
        <w:gridCol w:w="982"/>
        <w:gridCol w:w="982"/>
      </w:tblGrid>
      <w:tr w:rsidR="000A7AE4" w:rsidRPr="00A25F2C" w14:paraId="1E32A6EE" w14:textId="77777777" w:rsidTr="00671EDB">
        <w:trPr>
          <w:cnfStyle w:val="100000000000" w:firstRow="1" w:lastRow="0" w:firstColumn="0" w:lastColumn="0" w:oddVBand="0" w:evenVBand="0" w:oddHBand="0" w:evenHBand="0" w:firstRowFirstColumn="0" w:firstRowLastColumn="0" w:lastRowFirstColumn="0" w:lastRowLastColumn="0"/>
        </w:trPr>
        <w:tc>
          <w:tcPr>
            <w:tcW w:w="1429" w:type="pct"/>
          </w:tcPr>
          <w:p w14:paraId="2ABCE4FB" w14:textId="14E94DF0" w:rsidR="007F4791" w:rsidRPr="00A25F2C" w:rsidRDefault="007F4791" w:rsidP="004E1FA1">
            <w:pPr>
              <w:pStyle w:val="TableBodyText"/>
            </w:pPr>
            <w:r w:rsidRPr="00A25F2C">
              <w:t xml:space="preserve">Nominal </w:t>
            </w:r>
            <w:r w:rsidR="00E65500">
              <w:t>$ million</w:t>
            </w:r>
          </w:p>
        </w:tc>
        <w:tc>
          <w:tcPr>
            <w:tcW w:w="510" w:type="pct"/>
          </w:tcPr>
          <w:p w14:paraId="2BA93E96" w14:textId="77777777" w:rsidR="007F4791" w:rsidRPr="00A25F2C" w:rsidRDefault="007F4791" w:rsidP="004E1FA1">
            <w:pPr>
              <w:pStyle w:val="TableBodyText"/>
            </w:pPr>
            <w:r w:rsidRPr="00A25F2C">
              <w:t>2022-23</w:t>
            </w:r>
          </w:p>
          <w:p w14:paraId="16D2CC53" w14:textId="77777777" w:rsidR="007F4791" w:rsidRPr="00A25F2C" w:rsidRDefault="007F4791" w:rsidP="004E1FA1">
            <w:pPr>
              <w:pStyle w:val="TableBodyText"/>
            </w:pPr>
            <w:r w:rsidRPr="00A25F2C">
              <w:t>FCT</w:t>
            </w:r>
          </w:p>
        </w:tc>
        <w:tc>
          <w:tcPr>
            <w:tcW w:w="510" w:type="pct"/>
          </w:tcPr>
          <w:p w14:paraId="2FF538BC" w14:textId="77777777" w:rsidR="007F4791" w:rsidRPr="00A25F2C" w:rsidRDefault="007F4791" w:rsidP="004E1FA1">
            <w:pPr>
              <w:pStyle w:val="TableBodyText"/>
            </w:pPr>
            <w:r w:rsidRPr="00A25F2C">
              <w:t>2022-23</w:t>
            </w:r>
          </w:p>
          <w:p w14:paraId="6D8E610E" w14:textId="77777777" w:rsidR="007F4791" w:rsidRPr="00A25F2C" w:rsidRDefault="007F4791" w:rsidP="004E1FA1">
            <w:pPr>
              <w:pStyle w:val="TableBodyText"/>
            </w:pPr>
            <w:r w:rsidRPr="00A25F2C">
              <w:t>PLAN</w:t>
            </w:r>
          </w:p>
        </w:tc>
        <w:tc>
          <w:tcPr>
            <w:tcW w:w="510" w:type="pct"/>
          </w:tcPr>
          <w:p w14:paraId="0A2E5159" w14:textId="77777777" w:rsidR="007F4791" w:rsidRPr="00A25F2C" w:rsidRDefault="007F4791" w:rsidP="004E1FA1">
            <w:pPr>
              <w:pStyle w:val="TableBodyText"/>
            </w:pPr>
            <w:r w:rsidRPr="00A25F2C">
              <w:t>2023-24</w:t>
            </w:r>
          </w:p>
        </w:tc>
        <w:tc>
          <w:tcPr>
            <w:tcW w:w="510" w:type="pct"/>
          </w:tcPr>
          <w:p w14:paraId="2DF36F2B" w14:textId="77777777" w:rsidR="007F4791" w:rsidRPr="00A25F2C" w:rsidRDefault="007F4791" w:rsidP="004E1FA1">
            <w:pPr>
              <w:pStyle w:val="TableBodyText"/>
            </w:pPr>
            <w:r w:rsidRPr="00A25F2C">
              <w:t>2024-25</w:t>
            </w:r>
          </w:p>
        </w:tc>
        <w:tc>
          <w:tcPr>
            <w:tcW w:w="510" w:type="pct"/>
          </w:tcPr>
          <w:p w14:paraId="6EFC820F" w14:textId="77777777" w:rsidR="007F4791" w:rsidRPr="00A25F2C" w:rsidRDefault="007F4791" w:rsidP="004E1FA1">
            <w:pPr>
              <w:pStyle w:val="TableBodyText"/>
            </w:pPr>
            <w:r w:rsidRPr="00A25F2C">
              <w:t>2025-26</w:t>
            </w:r>
          </w:p>
        </w:tc>
        <w:tc>
          <w:tcPr>
            <w:tcW w:w="510" w:type="pct"/>
          </w:tcPr>
          <w:p w14:paraId="6816778D" w14:textId="77777777" w:rsidR="007F4791" w:rsidRPr="00A25F2C" w:rsidRDefault="007F4791" w:rsidP="004E1FA1">
            <w:pPr>
              <w:pStyle w:val="TableBodyText"/>
            </w:pPr>
            <w:r w:rsidRPr="00A25F2C">
              <w:t>2026-27</w:t>
            </w:r>
          </w:p>
        </w:tc>
        <w:tc>
          <w:tcPr>
            <w:tcW w:w="510" w:type="pct"/>
          </w:tcPr>
          <w:p w14:paraId="40F55109" w14:textId="77777777" w:rsidR="007F4791" w:rsidRPr="00A25F2C" w:rsidRDefault="007F4791" w:rsidP="004E1FA1">
            <w:pPr>
              <w:pStyle w:val="TableBodyText"/>
            </w:pPr>
            <w:r w:rsidRPr="00A25F2C">
              <w:t>2027-28</w:t>
            </w:r>
          </w:p>
        </w:tc>
      </w:tr>
      <w:tr w:rsidR="000A7AE4" w:rsidRPr="00A25F2C" w14:paraId="32C0D823" w14:textId="77777777" w:rsidTr="00671EDB">
        <w:tc>
          <w:tcPr>
            <w:tcW w:w="1429" w:type="pct"/>
          </w:tcPr>
          <w:p w14:paraId="183AB814" w14:textId="77777777" w:rsidR="00335623" w:rsidRPr="00A25F2C" w:rsidRDefault="00335623" w:rsidP="00335623">
            <w:pPr>
              <w:pStyle w:val="TableBodyText"/>
              <w:rPr>
                <w:b/>
              </w:rPr>
            </w:pPr>
            <w:r w:rsidRPr="00A25F2C">
              <w:rPr>
                <w:b/>
              </w:rPr>
              <w:t>Cash Flow from Operating Activities</w:t>
            </w:r>
          </w:p>
        </w:tc>
        <w:tc>
          <w:tcPr>
            <w:tcW w:w="510" w:type="pct"/>
          </w:tcPr>
          <w:p w14:paraId="1FB492E9" w14:textId="2DC843BA" w:rsidR="00335623" w:rsidRPr="000A7AE4" w:rsidRDefault="00995D31" w:rsidP="000A7AE4">
            <w:pPr>
              <w:pStyle w:val="TableBodyText"/>
              <w:jc w:val="right"/>
            </w:pPr>
            <w:r>
              <w:t>N/A</w:t>
            </w:r>
          </w:p>
        </w:tc>
        <w:tc>
          <w:tcPr>
            <w:tcW w:w="510" w:type="pct"/>
          </w:tcPr>
          <w:p w14:paraId="313E0836" w14:textId="4B7EEFEC" w:rsidR="00335623" w:rsidRPr="000A7AE4" w:rsidRDefault="00995D31" w:rsidP="000A7AE4">
            <w:pPr>
              <w:pStyle w:val="TableBodyText"/>
              <w:jc w:val="right"/>
            </w:pPr>
            <w:r>
              <w:t>N/A</w:t>
            </w:r>
          </w:p>
        </w:tc>
        <w:tc>
          <w:tcPr>
            <w:tcW w:w="510" w:type="pct"/>
          </w:tcPr>
          <w:p w14:paraId="33CDDF74" w14:textId="721B7901" w:rsidR="00335623" w:rsidRPr="000A7AE4" w:rsidRDefault="00995D31" w:rsidP="000A7AE4">
            <w:pPr>
              <w:pStyle w:val="TableBodyText"/>
              <w:jc w:val="right"/>
            </w:pPr>
            <w:r>
              <w:t>N/A</w:t>
            </w:r>
          </w:p>
        </w:tc>
        <w:tc>
          <w:tcPr>
            <w:tcW w:w="510" w:type="pct"/>
          </w:tcPr>
          <w:p w14:paraId="7C0224D4" w14:textId="05414BCB" w:rsidR="00335623" w:rsidRPr="000A7AE4" w:rsidRDefault="00995D31" w:rsidP="000A7AE4">
            <w:pPr>
              <w:pStyle w:val="TableBodyText"/>
              <w:jc w:val="right"/>
            </w:pPr>
            <w:r>
              <w:t>N/A</w:t>
            </w:r>
          </w:p>
        </w:tc>
        <w:tc>
          <w:tcPr>
            <w:tcW w:w="510" w:type="pct"/>
          </w:tcPr>
          <w:p w14:paraId="794BC1FD" w14:textId="2BF94B7D" w:rsidR="00335623" w:rsidRPr="000A7AE4" w:rsidRDefault="00995D31" w:rsidP="000A7AE4">
            <w:pPr>
              <w:pStyle w:val="TableBodyText"/>
              <w:jc w:val="right"/>
            </w:pPr>
            <w:r>
              <w:t>N/A</w:t>
            </w:r>
          </w:p>
        </w:tc>
        <w:tc>
          <w:tcPr>
            <w:tcW w:w="510" w:type="pct"/>
          </w:tcPr>
          <w:p w14:paraId="6A5DF32E" w14:textId="2DA30E9B" w:rsidR="00335623" w:rsidRPr="000A7AE4" w:rsidRDefault="00995D31" w:rsidP="000A7AE4">
            <w:pPr>
              <w:pStyle w:val="TableBodyText"/>
              <w:jc w:val="right"/>
            </w:pPr>
            <w:r>
              <w:t>N/A</w:t>
            </w:r>
          </w:p>
        </w:tc>
        <w:tc>
          <w:tcPr>
            <w:tcW w:w="510" w:type="pct"/>
          </w:tcPr>
          <w:p w14:paraId="6D74BE99" w14:textId="76F84E36" w:rsidR="00335623" w:rsidRPr="000A7AE4" w:rsidRDefault="00995D31" w:rsidP="000A7AE4">
            <w:pPr>
              <w:pStyle w:val="TableBodyText"/>
              <w:jc w:val="right"/>
            </w:pPr>
            <w:r>
              <w:t>N/A</w:t>
            </w:r>
          </w:p>
        </w:tc>
      </w:tr>
      <w:tr w:rsidR="007F4791" w:rsidRPr="00A25F2C" w14:paraId="500C72F0" w14:textId="77777777" w:rsidTr="00671EDB">
        <w:tc>
          <w:tcPr>
            <w:tcW w:w="1429" w:type="pct"/>
          </w:tcPr>
          <w:p w14:paraId="2B308790" w14:textId="77777777" w:rsidR="007F4791" w:rsidRPr="00A25F2C" w:rsidRDefault="007F4791" w:rsidP="004E1FA1">
            <w:pPr>
              <w:pStyle w:val="TableBodyText"/>
            </w:pPr>
            <w:r w:rsidRPr="00A25F2C">
              <w:t>Receipts from Customers</w:t>
            </w:r>
          </w:p>
        </w:tc>
        <w:tc>
          <w:tcPr>
            <w:tcW w:w="510" w:type="pct"/>
          </w:tcPr>
          <w:p w14:paraId="7FCD78C6" w14:textId="77777777" w:rsidR="007F4791" w:rsidRPr="00A25F2C" w:rsidRDefault="007F4791" w:rsidP="000A7AE4">
            <w:pPr>
              <w:pStyle w:val="TableBodyText"/>
              <w:jc w:val="right"/>
            </w:pPr>
            <w:r w:rsidRPr="00A25F2C">
              <w:t>1,988.5</w:t>
            </w:r>
          </w:p>
        </w:tc>
        <w:tc>
          <w:tcPr>
            <w:tcW w:w="510" w:type="pct"/>
          </w:tcPr>
          <w:p w14:paraId="089F3F7D" w14:textId="77777777" w:rsidR="007F4791" w:rsidRPr="00A25F2C" w:rsidRDefault="007F4791" w:rsidP="000A7AE4">
            <w:pPr>
              <w:pStyle w:val="TableBodyText"/>
              <w:jc w:val="right"/>
            </w:pPr>
            <w:r w:rsidRPr="00A25F2C">
              <w:t>1,952.7</w:t>
            </w:r>
          </w:p>
        </w:tc>
        <w:tc>
          <w:tcPr>
            <w:tcW w:w="510" w:type="pct"/>
          </w:tcPr>
          <w:p w14:paraId="6053661D" w14:textId="77777777" w:rsidR="007F4791" w:rsidRPr="00A25F2C" w:rsidRDefault="007F4791" w:rsidP="000A7AE4">
            <w:pPr>
              <w:pStyle w:val="TableBodyText"/>
              <w:jc w:val="right"/>
            </w:pPr>
            <w:r w:rsidRPr="00A25F2C">
              <w:t>2,149.7</w:t>
            </w:r>
          </w:p>
        </w:tc>
        <w:tc>
          <w:tcPr>
            <w:tcW w:w="510" w:type="pct"/>
          </w:tcPr>
          <w:p w14:paraId="7A816037" w14:textId="77777777" w:rsidR="007F4791" w:rsidRPr="00A25F2C" w:rsidRDefault="007F4791" w:rsidP="000A7AE4">
            <w:pPr>
              <w:pStyle w:val="TableBodyText"/>
              <w:jc w:val="right"/>
            </w:pPr>
            <w:r w:rsidRPr="00A25F2C">
              <w:t>2,292.3</w:t>
            </w:r>
          </w:p>
        </w:tc>
        <w:tc>
          <w:tcPr>
            <w:tcW w:w="510" w:type="pct"/>
          </w:tcPr>
          <w:p w14:paraId="50551D95" w14:textId="77777777" w:rsidR="007F4791" w:rsidRPr="00A25F2C" w:rsidRDefault="007F4791" w:rsidP="000A7AE4">
            <w:pPr>
              <w:pStyle w:val="TableBodyText"/>
              <w:jc w:val="right"/>
            </w:pPr>
            <w:r w:rsidRPr="00A25F2C">
              <w:t>2,371.7</w:t>
            </w:r>
          </w:p>
        </w:tc>
        <w:tc>
          <w:tcPr>
            <w:tcW w:w="510" w:type="pct"/>
          </w:tcPr>
          <w:p w14:paraId="6C5CC3DA" w14:textId="77777777" w:rsidR="007F4791" w:rsidRPr="00A25F2C" w:rsidRDefault="007F4791" w:rsidP="000A7AE4">
            <w:pPr>
              <w:pStyle w:val="TableBodyText"/>
              <w:jc w:val="right"/>
            </w:pPr>
            <w:r w:rsidRPr="00A25F2C">
              <w:t>2,478.9</w:t>
            </w:r>
          </w:p>
        </w:tc>
        <w:tc>
          <w:tcPr>
            <w:tcW w:w="510" w:type="pct"/>
          </w:tcPr>
          <w:p w14:paraId="3DD28386" w14:textId="77777777" w:rsidR="007F4791" w:rsidRPr="00A25F2C" w:rsidRDefault="007F4791" w:rsidP="000A7AE4">
            <w:pPr>
              <w:pStyle w:val="TableBodyText"/>
              <w:jc w:val="right"/>
            </w:pPr>
            <w:r w:rsidRPr="00A25F2C">
              <w:t>2,595.6</w:t>
            </w:r>
          </w:p>
        </w:tc>
      </w:tr>
      <w:tr w:rsidR="007F4791" w:rsidRPr="00A25F2C" w14:paraId="740B68B6" w14:textId="77777777" w:rsidTr="00671EDB">
        <w:tc>
          <w:tcPr>
            <w:tcW w:w="1429" w:type="pct"/>
          </w:tcPr>
          <w:p w14:paraId="08A23111" w14:textId="77777777" w:rsidR="007F4791" w:rsidRPr="00A25F2C" w:rsidRDefault="007F4791" w:rsidP="004E1FA1">
            <w:pPr>
              <w:pStyle w:val="TableBodyText"/>
            </w:pPr>
            <w:r w:rsidRPr="00A25F2C">
              <w:t>Interest Received</w:t>
            </w:r>
          </w:p>
        </w:tc>
        <w:tc>
          <w:tcPr>
            <w:tcW w:w="510" w:type="pct"/>
          </w:tcPr>
          <w:p w14:paraId="5140FE6A" w14:textId="77777777" w:rsidR="007F4791" w:rsidRPr="00A25F2C" w:rsidRDefault="007F4791" w:rsidP="000A7AE4">
            <w:pPr>
              <w:pStyle w:val="TableBodyText"/>
              <w:jc w:val="right"/>
            </w:pPr>
            <w:r w:rsidRPr="00A25F2C">
              <w:t>0.9</w:t>
            </w:r>
          </w:p>
        </w:tc>
        <w:tc>
          <w:tcPr>
            <w:tcW w:w="510" w:type="pct"/>
          </w:tcPr>
          <w:p w14:paraId="456D0CE9" w14:textId="77777777" w:rsidR="007F4791" w:rsidRPr="00A25F2C" w:rsidRDefault="007F4791" w:rsidP="000A7AE4">
            <w:pPr>
              <w:pStyle w:val="TableBodyText"/>
              <w:jc w:val="right"/>
            </w:pPr>
            <w:r w:rsidRPr="00A25F2C">
              <w:t>0.0</w:t>
            </w:r>
          </w:p>
        </w:tc>
        <w:tc>
          <w:tcPr>
            <w:tcW w:w="510" w:type="pct"/>
          </w:tcPr>
          <w:p w14:paraId="03952FC6" w14:textId="77777777" w:rsidR="007F4791" w:rsidRPr="00A25F2C" w:rsidRDefault="007F4791" w:rsidP="000A7AE4">
            <w:pPr>
              <w:pStyle w:val="TableBodyText"/>
              <w:jc w:val="right"/>
            </w:pPr>
            <w:r w:rsidRPr="00A25F2C">
              <w:t>0.0</w:t>
            </w:r>
          </w:p>
        </w:tc>
        <w:tc>
          <w:tcPr>
            <w:tcW w:w="510" w:type="pct"/>
          </w:tcPr>
          <w:p w14:paraId="0D566C57" w14:textId="77777777" w:rsidR="007F4791" w:rsidRPr="00A25F2C" w:rsidRDefault="007F4791" w:rsidP="000A7AE4">
            <w:pPr>
              <w:pStyle w:val="TableBodyText"/>
              <w:jc w:val="right"/>
            </w:pPr>
            <w:r w:rsidRPr="00A25F2C">
              <w:t>0.0</w:t>
            </w:r>
          </w:p>
        </w:tc>
        <w:tc>
          <w:tcPr>
            <w:tcW w:w="510" w:type="pct"/>
          </w:tcPr>
          <w:p w14:paraId="4786FBEE" w14:textId="77777777" w:rsidR="007F4791" w:rsidRPr="00A25F2C" w:rsidRDefault="007F4791" w:rsidP="000A7AE4">
            <w:pPr>
              <w:pStyle w:val="TableBodyText"/>
              <w:jc w:val="right"/>
            </w:pPr>
            <w:r w:rsidRPr="00A25F2C">
              <w:t>0.0</w:t>
            </w:r>
          </w:p>
        </w:tc>
        <w:tc>
          <w:tcPr>
            <w:tcW w:w="510" w:type="pct"/>
          </w:tcPr>
          <w:p w14:paraId="207BA763" w14:textId="77777777" w:rsidR="007F4791" w:rsidRPr="00A25F2C" w:rsidRDefault="007F4791" w:rsidP="000A7AE4">
            <w:pPr>
              <w:pStyle w:val="TableBodyText"/>
              <w:jc w:val="right"/>
            </w:pPr>
            <w:r w:rsidRPr="00A25F2C">
              <w:t>0.0</w:t>
            </w:r>
          </w:p>
        </w:tc>
        <w:tc>
          <w:tcPr>
            <w:tcW w:w="510" w:type="pct"/>
          </w:tcPr>
          <w:p w14:paraId="42D15735" w14:textId="77777777" w:rsidR="007F4791" w:rsidRPr="00A25F2C" w:rsidRDefault="007F4791" w:rsidP="000A7AE4">
            <w:pPr>
              <w:pStyle w:val="TableBodyText"/>
              <w:jc w:val="right"/>
            </w:pPr>
            <w:r w:rsidRPr="00A25F2C">
              <w:t>0.0</w:t>
            </w:r>
          </w:p>
        </w:tc>
      </w:tr>
      <w:tr w:rsidR="007F4791" w:rsidRPr="00A25F2C" w14:paraId="7313A3E4" w14:textId="77777777" w:rsidTr="00671EDB">
        <w:tc>
          <w:tcPr>
            <w:tcW w:w="1429" w:type="pct"/>
          </w:tcPr>
          <w:p w14:paraId="74BD13DC" w14:textId="77777777" w:rsidR="007F4791" w:rsidRPr="00A25F2C" w:rsidRDefault="007F4791" w:rsidP="004E1FA1">
            <w:pPr>
              <w:pStyle w:val="TableBodyText"/>
            </w:pPr>
            <w:r w:rsidRPr="00A25F2C">
              <w:t>Payments to Suppliers &amp; Employees</w:t>
            </w:r>
          </w:p>
        </w:tc>
        <w:tc>
          <w:tcPr>
            <w:tcW w:w="510" w:type="pct"/>
          </w:tcPr>
          <w:p w14:paraId="14AFE7F8" w14:textId="77777777" w:rsidR="007F4791" w:rsidRPr="00A25F2C" w:rsidRDefault="007F4791" w:rsidP="000A7AE4">
            <w:pPr>
              <w:pStyle w:val="TableBodyText"/>
              <w:jc w:val="right"/>
            </w:pPr>
            <w:r w:rsidRPr="00A25F2C">
              <w:t>(791.8)</w:t>
            </w:r>
          </w:p>
        </w:tc>
        <w:tc>
          <w:tcPr>
            <w:tcW w:w="510" w:type="pct"/>
          </w:tcPr>
          <w:p w14:paraId="3B62D11D" w14:textId="77777777" w:rsidR="007F4791" w:rsidRPr="00A25F2C" w:rsidRDefault="007F4791" w:rsidP="000A7AE4">
            <w:pPr>
              <w:pStyle w:val="TableBodyText"/>
              <w:jc w:val="right"/>
            </w:pPr>
            <w:r w:rsidRPr="00A25F2C">
              <w:t>(818.8)</w:t>
            </w:r>
          </w:p>
        </w:tc>
        <w:tc>
          <w:tcPr>
            <w:tcW w:w="510" w:type="pct"/>
          </w:tcPr>
          <w:p w14:paraId="58FD0BF7" w14:textId="77777777" w:rsidR="007F4791" w:rsidRPr="00A25F2C" w:rsidRDefault="007F4791" w:rsidP="000A7AE4">
            <w:pPr>
              <w:pStyle w:val="TableBodyText"/>
              <w:jc w:val="right"/>
            </w:pPr>
            <w:r w:rsidRPr="00A25F2C">
              <w:t>(923.4)</w:t>
            </w:r>
          </w:p>
        </w:tc>
        <w:tc>
          <w:tcPr>
            <w:tcW w:w="510" w:type="pct"/>
          </w:tcPr>
          <w:p w14:paraId="7EC0F90A" w14:textId="77777777" w:rsidR="007F4791" w:rsidRPr="00A25F2C" w:rsidRDefault="007F4791" w:rsidP="000A7AE4">
            <w:pPr>
              <w:pStyle w:val="TableBodyText"/>
              <w:jc w:val="right"/>
            </w:pPr>
            <w:r w:rsidRPr="00A25F2C">
              <w:t>(1,011.8)</w:t>
            </w:r>
          </w:p>
        </w:tc>
        <w:tc>
          <w:tcPr>
            <w:tcW w:w="510" w:type="pct"/>
          </w:tcPr>
          <w:p w14:paraId="4C1EED91" w14:textId="77777777" w:rsidR="007F4791" w:rsidRPr="00A25F2C" w:rsidRDefault="007F4791" w:rsidP="000A7AE4">
            <w:pPr>
              <w:pStyle w:val="TableBodyText"/>
              <w:jc w:val="right"/>
            </w:pPr>
            <w:r w:rsidRPr="00A25F2C">
              <w:t>(966.3)</w:t>
            </w:r>
          </w:p>
        </w:tc>
        <w:tc>
          <w:tcPr>
            <w:tcW w:w="510" w:type="pct"/>
          </w:tcPr>
          <w:p w14:paraId="598CB41B" w14:textId="77777777" w:rsidR="007F4791" w:rsidRPr="00A25F2C" w:rsidRDefault="007F4791" w:rsidP="000A7AE4">
            <w:pPr>
              <w:pStyle w:val="TableBodyText"/>
              <w:jc w:val="right"/>
            </w:pPr>
            <w:r w:rsidRPr="00A25F2C">
              <w:t>(1,023.5)</w:t>
            </w:r>
          </w:p>
        </w:tc>
        <w:tc>
          <w:tcPr>
            <w:tcW w:w="510" w:type="pct"/>
          </w:tcPr>
          <w:p w14:paraId="05E66740" w14:textId="77777777" w:rsidR="007F4791" w:rsidRPr="00A25F2C" w:rsidRDefault="007F4791" w:rsidP="000A7AE4">
            <w:pPr>
              <w:pStyle w:val="TableBodyText"/>
              <w:jc w:val="right"/>
            </w:pPr>
            <w:r w:rsidRPr="00A25F2C">
              <w:t>(1,085.8)</w:t>
            </w:r>
          </w:p>
        </w:tc>
      </w:tr>
      <w:tr w:rsidR="007F4791" w:rsidRPr="00A25F2C" w14:paraId="583AA466" w14:textId="77777777" w:rsidTr="00671EDB">
        <w:tc>
          <w:tcPr>
            <w:tcW w:w="1429" w:type="pct"/>
          </w:tcPr>
          <w:p w14:paraId="53835105" w14:textId="77777777" w:rsidR="007F4791" w:rsidRPr="00A25F2C" w:rsidRDefault="007F4791" w:rsidP="004E1FA1">
            <w:pPr>
              <w:pStyle w:val="TableBodyText"/>
            </w:pPr>
            <w:r w:rsidRPr="00A25F2C">
              <w:t>Income Tax Paid</w:t>
            </w:r>
          </w:p>
        </w:tc>
        <w:tc>
          <w:tcPr>
            <w:tcW w:w="510" w:type="pct"/>
          </w:tcPr>
          <w:p w14:paraId="6FC81BEF" w14:textId="77777777" w:rsidR="007F4791" w:rsidRPr="00A25F2C" w:rsidRDefault="007F4791" w:rsidP="000A7AE4">
            <w:pPr>
              <w:pStyle w:val="TableBodyText"/>
              <w:jc w:val="right"/>
            </w:pPr>
            <w:r w:rsidRPr="00A25F2C">
              <w:t>(110.7)</w:t>
            </w:r>
          </w:p>
        </w:tc>
        <w:tc>
          <w:tcPr>
            <w:tcW w:w="510" w:type="pct"/>
          </w:tcPr>
          <w:p w14:paraId="6AE487F9" w14:textId="77777777" w:rsidR="007F4791" w:rsidRPr="00A25F2C" w:rsidRDefault="007F4791" w:rsidP="000A7AE4">
            <w:pPr>
              <w:pStyle w:val="TableBodyText"/>
              <w:jc w:val="right"/>
            </w:pPr>
            <w:r w:rsidRPr="00A25F2C">
              <w:t>(102.1)</w:t>
            </w:r>
          </w:p>
        </w:tc>
        <w:tc>
          <w:tcPr>
            <w:tcW w:w="510" w:type="pct"/>
          </w:tcPr>
          <w:p w14:paraId="5C4147E0" w14:textId="77777777" w:rsidR="007F4791" w:rsidRPr="00A25F2C" w:rsidRDefault="007F4791" w:rsidP="000A7AE4">
            <w:pPr>
              <w:pStyle w:val="TableBodyText"/>
              <w:jc w:val="right"/>
            </w:pPr>
            <w:r w:rsidRPr="00A25F2C">
              <w:t>(120.8)</w:t>
            </w:r>
          </w:p>
        </w:tc>
        <w:tc>
          <w:tcPr>
            <w:tcW w:w="510" w:type="pct"/>
          </w:tcPr>
          <w:p w14:paraId="4F6F5648" w14:textId="77777777" w:rsidR="007F4791" w:rsidRPr="00A25F2C" w:rsidRDefault="007F4791" w:rsidP="000A7AE4">
            <w:pPr>
              <w:pStyle w:val="TableBodyText"/>
              <w:jc w:val="right"/>
            </w:pPr>
            <w:r w:rsidRPr="00A25F2C">
              <w:t>(96.3)</w:t>
            </w:r>
          </w:p>
        </w:tc>
        <w:tc>
          <w:tcPr>
            <w:tcW w:w="510" w:type="pct"/>
          </w:tcPr>
          <w:p w14:paraId="7D4DF64C" w14:textId="77777777" w:rsidR="007F4791" w:rsidRPr="00A25F2C" w:rsidRDefault="007F4791" w:rsidP="000A7AE4">
            <w:pPr>
              <w:pStyle w:val="TableBodyText"/>
              <w:jc w:val="right"/>
            </w:pPr>
            <w:r w:rsidRPr="00A25F2C">
              <w:t>(109.8)</w:t>
            </w:r>
          </w:p>
        </w:tc>
        <w:tc>
          <w:tcPr>
            <w:tcW w:w="510" w:type="pct"/>
          </w:tcPr>
          <w:p w14:paraId="32EEC243" w14:textId="77777777" w:rsidR="007F4791" w:rsidRPr="00A25F2C" w:rsidRDefault="007F4791" w:rsidP="000A7AE4">
            <w:pPr>
              <w:pStyle w:val="TableBodyText"/>
              <w:jc w:val="right"/>
            </w:pPr>
            <w:r w:rsidRPr="00A25F2C">
              <w:t>(101.1)</w:t>
            </w:r>
          </w:p>
        </w:tc>
        <w:tc>
          <w:tcPr>
            <w:tcW w:w="510" w:type="pct"/>
          </w:tcPr>
          <w:p w14:paraId="0C9F5989" w14:textId="77777777" w:rsidR="007F4791" w:rsidRPr="00A25F2C" w:rsidRDefault="007F4791" w:rsidP="000A7AE4">
            <w:pPr>
              <w:pStyle w:val="TableBodyText"/>
              <w:jc w:val="right"/>
            </w:pPr>
            <w:r w:rsidRPr="00A25F2C">
              <w:t>(74.1)</w:t>
            </w:r>
          </w:p>
        </w:tc>
      </w:tr>
      <w:tr w:rsidR="007F4791" w:rsidRPr="00A25F2C" w14:paraId="1F470753" w14:textId="77777777" w:rsidTr="00671EDB">
        <w:tc>
          <w:tcPr>
            <w:tcW w:w="1429" w:type="pct"/>
          </w:tcPr>
          <w:p w14:paraId="5CC1CFC5" w14:textId="77777777" w:rsidR="007F4791" w:rsidRPr="00A25F2C" w:rsidRDefault="007F4791" w:rsidP="004E1FA1">
            <w:pPr>
              <w:pStyle w:val="TableBodyText"/>
            </w:pPr>
            <w:r w:rsidRPr="00A25F2C">
              <w:t>Borrowing Costs</w:t>
            </w:r>
          </w:p>
        </w:tc>
        <w:tc>
          <w:tcPr>
            <w:tcW w:w="510" w:type="pct"/>
          </w:tcPr>
          <w:p w14:paraId="124C95EE" w14:textId="77777777" w:rsidR="007F4791" w:rsidRPr="00A25F2C" w:rsidRDefault="007F4791" w:rsidP="000A7AE4">
            <w:pPr>
              <w:pStyle w:val="TableBodyText"/>
              <w:jc w:val="right"/>
            </w:pPr>
            <w:r w:rsidRPr="00A25F2C">
              <w:t>(146.5)</w:t>
            </w:r>
          </w:p>
        </w:tc>
        <w:tc>
          <w:tcPr>
            <w:tcW w:w="510" w:type="pct"/>
          </w:tcPr>
          <w:p w14:paraId="1F208B61" w14:textId="77777777" w:rsidR="007F4791" w:rsidRPr="00A25F2C" w:rsidRDefault="007F4791" w:rsidP="000A7AE4">
            <w:pPr>
              <w:pStyle w:val="TableBodyText"/>
              <w:jc w:val="right"/>
            </w:pPr>
            <w:r w:rsidRPr="00A25F2C">
              <w:t>(144.9)</w:t>
            </w:r>
          </w:p>
        </w:tc>
        <w:tc>
          <w:tcPr>
            <w:tcW w:w="510" w:type="pct"/>
          </w:tcPr>
          <w:p w14:paraId="3E8FB964" w14:textId="77777777" w:rsidR="007F4791" w:rsidRPr="00A25F2C" w:rsidRDefault="007F4791" w:rsidP="000A7AE4">
            <w:pPr>
              <w:pStyle w:val="TableBodyText"/>
              <w:jc w:val="right"/>
            </w:pPr>
            <w:r w:rsidRPr="00A25F2C">
              <w:t>(174.5)</w:t>
            </w:r>
          </w:p>
        </w:tc>
        <w:tc>
          <w:tcPr>
            <w:tcW w:w="510" w:type="pct"/>
          </w:tcPr>
          <w:p w14:paraId="2AC8112A" w14:textId="77777777" w:rsidR="007F4791" w:rsidRPr="00A25F2C" w:rsidRDefault="007F4791" w:rsidP="000A7AE4">
            <w:pPr>
              <w:pStyle w:val="TableBodyText"/>
              <w:jc w:val="right"/>
            </w:pPr>
            <w:r w:rsidRPr="00A25F2C">
              <w:t>(222.0)</w:t>
            </w:r>
          </w:p>
        </w:tc>
        <w:tc>
          <w:tcPr>
            <w:tcW w:w="510" w:type="pct"/>
          </w:tcPr>
          <w:p w14:paraId="584737F2" w14:textId="77777777" w:rsidR="007F4791" w:rsidRPr="00A25F2C" w:rsidRDefault="007F4791" w:rsidP="000A7AE4">
            <w:pPr>
              <w:pStyle w:val="TableBodyText"/>
              <w:jc w:val="right"/>
            </w:pPr>
            <w:r w:rsidRPr="00A25F2C">
              <w:t>(260.7)</w:t>
            </w:r>
          </w:p>
        </w:tc>
        <w:tc>
          <w:tcPr>
            <w:tcW w:w="510" w:type="pct"/>
          </w:tcPr>
          <w:p w14:paraId="3F3A27E4" w14:textId="77777777" w:rsidR="007F4791" w:rsidRPr="00A25F2C" w:rsidRDefault="007F4791" w:rsidP="000A7AE4">
            <w:pPr>
              <w:pStyle w:val="TableBodyText"/>
              <w:jc w:val="right"/>
            </w:pPr>
            <w:r w:rsidRPr="00A25F2C">
              <w:t>(302.3)</w:t>
            </w:r>
          </w:p>
        </w:tc>
        <w:tc>
          <w:tcPr>
            <w:tcW w:w="510" w:type="pct"/>
          </w:tcPr>
          <w:p w14:paraId="35191BAA" w14:textId="77777777" w:rsidR="007F4791" w:rsidRPr="00A25F2C" w:rsidRDefault="007F4791" w:rsidP="000A7AE4">
            <w:pPr>
              <w:pStyle w:val="TableBodyText"/>
              <w:jc w:val="right"/>
            </w:pPr>
            <w:r w:rsidRPr="00A25F2C">
              <w:t>(369.2)</w:t>
            </w:r>
          </w:p>
        </w:tc>
      </w:tr>
      <w:tr w:rsidR="007F4791" w:rsidRPr="00A25F2C" w14:paraId="06D3909D" w14:textId="77777777" w:rsidTr="00671EDB">
        <w:tc>
          <w:tcPr>
            <w:tcW w:w="1429" w:type="pct"/>
          </w:tcPr>
          <w:p w14:paraId="02F0C855" w14:textId="77777777" w:rsidR="007F4791" w:rsidRPr="00A25F2C" w:rsidRDefault="007F4791" w:rsidP="004E1FA1">
            <w:pPr>
              <w:pStyle w:val="TableBodyText"/>
            </w:pPr>
            <w:r w:rsidRPr="00A25F2C">
              <w:t>Interest on VDP Service Concession Liability and Leases</w:t>
            </w:r>
          </w:p>
        </w:tc>
        <w:tc>
          <w:tcPr>
            <w:tcW w:w="510" w:type="pct"/>
          </w:tcPr>
          <w:p w14:paraId="6A421BCD" w14:textId="77777777" w:rsidR="007F4791" w:rsidRPr="00A25F2C" w:rsidRDefault="007F4791" w:rsidP="00F13D2F">
            <w:pPr>
              <w:pStyle w:val="TableBodyText"/>
              <w:jc w:val="right"/>
            </w:pPr>
            <w:r w:rsidRPr="00A25F2C">
              <w:t>(400.0)</w:t>
            </w:r>
          </w:p>
        </w:tc>
        <w:tc>
          <w:tcPr>
            <w:tcW w:w="510" w:type="pct"/>
          </w:tcPr>
          <w:p w14:paraId="053166CA" w14:textId="77777777" w:rsidR="007F4791" w:rsidRPr="00A25F2C" w:rsidRDefault="007F4791" w:rsidP="00F13D2F">
            <w:pPr>
              <w:pStyle w:val="TableBodyText"/>
              <w:jc w:val="right"/>
            </w:pPr>
            <w:r w:rsidRPr="00A25F2C">
              <w:t>(400.1)</w:t>
            </w:r>
          </w:p>
        </w:tc>
        <w:tc>
          <w:tcPr>
            <w:tcW w:w="510" w:type="pct"/>
          </w:tcPr>
          <w:p w14:paraId="5340F94C" w14:textId="77777777" w:rsidR="007F4791" w:rsidRPr="00A25F2C" w:rsidRDefault="007F4791" w:rsidP="00F13D2F">
            <w:pPr>
              <w:pStyle w:val="TableBodyText"/>
              <w:jc w:val="right"/>
            </w:pPr>
            <w:r w:rsidRPr="00A25F2C">
              <w:t>(395.5)</w:t>
            </w:r>
          </w:p>
        </w:tc>
        <w:tc>
          <w:tcPr>
            <w:tcW w:w="510" w:type="pct"/>
          </w:tcPr>
          <w:p w14:paraId="7EA8AF00" w14:textId="77777777" w:rsidR="007F4791" w:rsidRPr="00A25F2C" w:rsidRDefault="007F4791" w:rsidP="00F13D2F">
            <w:pPr>
              <w:pStyle w:val="TableBodyText"/>
              <w:jc w:val="right"/>
            </w:pPr>
            <w:r w:rsidRPr="00A25F2C">
              <w:t>(389.8)</w:t>
            </w:r>
          </w:p>
        </w:tc>
        <w:tc>
          <w:tcPr>
            <w:tcW w:w="510" w:type="pct"/>
          </w:tcPr>
          <w:p w14:paraId="284E7D66" w14:textId="77777777" w:rsidR="007F4791" w:rsidRPr="00A25F2C" w:rsidRDefault="007F4791" w:rsidP="00F13D2F">
            <w:pPr>
              <w:pStyle w:val="TableBodyText"/>
              <w:jc w:val="right"/>
            </w:pPr>
            <w:r w:rsidRPr="00A25F2C">
              <w:t>(382.7)</w:t>
            </w:r>
          </w:p>
        </w:tc>
        <w:tc>
          <w:tcPr>
            <w:tcW w:w="510" w:type="pct"/>
          </w:tcPr>
          <w:p w14:paraId="662D8932" w14:textId="77777777" w:rsidR="007F4791" w:rsidRPr="00A25F2C" w:rsidRDefault="007F4791" w:rsidP="00F13D2F">
            <w:pPr>
              <w:pStyle w:val="TableBodyText"/>
              <w:jc w:val="right"/>
            </w:pPr>
            <w:r w:rsidRPr="00A25F2C">
              <w:t>(374.3)</w:t>
            </w:r>
          </w:p>
        </w:tc>
        <w:tc>
          <w:tcPr>
            <w:tcW w:w="510" w:type="pct"/>
          </w:tcPr>
          <w:p w14:paraId="7BF52684" w14:textId="77777777" w:rsidR="007F4791" w:rsidRPr="00A25F2C" w:rsidRDefault="007F4791" w:rsidP="00F13D2F">
            <w:pPr>
              <w:pStyle w:val="TableBodyText"/>
              <w:jc w:val="right"/>
            </w:pPr>
            <w:r w:rsidRPr="00A25F2C">
              <w:t>(363.6)</w:t>
            </w:r>
          </w:p>
        </w:tc>
      </w:tr>
      <w:tr w:rsidR="007F4791" w:rsidRPr="00A25F2C" w14:paraId="592230F9" w14:textId="77777777" w:rsidTr="00671EDB">
        <w:tc>
          <w:tcPr>
            <w:tcW w:w="1429" w:type="pct"/>
          </w:tcPr>
          <w:p w14:paraId="7D5F97D8" w14:textId="77777777" w:rsidR="007F4791" w:rsidRPr="00A25F2C" w:rsidRDefault="007F4791" w:rsidP="004E1FA1">
            <w:pPr>
              <w:pStyle w:val="TableBodyText"/>
            </w:pPr>
            <w:r w:rsidRPr="00A25F2C">
              <w:rPr>
                <w:b/>
              </w:rPr>
              <w:t>Total Cash Flow from Operating Activities</w:t>
            </w:r>
          </w:p>
        </w:tc>
        <w:tc>
          <w:tcPr>
            <w:tcW w:w="510" w:type="pct"/>
          </w:tcPr>
          <w:p w14:paraId="57513E3E" w14:textId="77777777" w:rsidR="007F4791" w:rsidRPr="00A25F2C" w:rsidRDefault="007F4791" w:rsidP="00F13D2F">
            <w:pPr>
              <w:pStyle w:val="TableBodyText"/>
              <w:jc w:val="right"/>
            </w:pPr>
            <w:r w:rsidRPr="00A25F2C">
              <w:rPr>
                <w:b/>
              </w:rPr>
              <w:t>540.4</w:t>
            </w:r>
          </w:p>
        </w:tc>
        <w:tc>
          <w:tcPr>
            <w:tcW w:w="510" w:type="pct"/>
          </w:tcPr>
          <w:p w14:paraId="62CDA544" w14:textId="77777777" w:rsidR="007F4791" w:rsidRPr="00A25F2C" w:rsidRDefault="007F4791" w:rsidP="00F13D2F">
            <w:pPr>
              <w:pStyle w:val="TableBodyText"/>
              <w:jc w:val="right"/>
            </w:pPr>
            <w:r w:rsidRPr="00A25F2C">
              <w:rPr>
                <w:b/>
              </w:rPr>
              <w:t>486.8</w:t>
            </w:r>
          </w:p>
        </w:tc>
        <w:tc>
          <w:tcPr>
            <w:tcW w:w="510" w:type="pct"/>
          </w:tcPr>
          <w:p w14:paraId="064A0C41" w14:textId="77777777" w:rsidR="007F4791" w:rsidRPr="00A25F2C" w:rsidRDefault="007F4791" w:rsidP="00F13D2F">
            <w:pPr>
              <w:pStyle w:val="TableBodyText"/>
              <w:jc w:val="right"/>
            </w:pPr>
            <w:r w:rsidRPr="00A25F2C">
              <w:rPr>
                <w:b/>
              </w:rPr>
              <w:t>535.5</w:t>
            </w:r>
          </w:p>
        </w:tc>
        <w:tc>
          <w:tcPr>
            <w:tcW w:w="510" w:type="pct"/>
          </w:tcPr>
          <w:p w14:paraId="61C4D854" w14:textId="77777777" w:rsidR="007F4791" w:rsidRPr="00A25F2C" w:rsidRDefault="007F4791" w:rsidP="00F13D2F">
            <w:pPr>
              <w:pStyle w:val="TableBodyText"/>
              <w:jc w:val="right"/>
            </w:pPr>
            <w:r w:rsidRPr="00A25F2C">
              <w:rPr>
                <w:b/>
              </w:rPr>
              <w:t>572.4</w:t>
            </w:r>
          </w:p>
        </w:tc>
        <w:tc>
          <w:tcPr>
            <w:tcW w:w="510" w:type="pct"/>
          </w:tcPr>
          <w:p w14:paraId="57ABE9A1" w14:textId="77777777" w:rsidR="007F4791" w:rsidRPr="00A25F2C" w:rsidRDefault="007F4791" w:rsidP="00F13D2F">
            <w:pPr>
              <w:pStyle w:val="TableBodyText"/>
              <w:jc w:val="right"/>
            </w:pPr>
            <w:r w:rsidRPr="00A25F2C">
              <w:rPr>
                <w:b/>
              </w:rPr>
              <w:t>652.2</w:t>
            </w:r>
          </w:p>
        </w:tc>
        <w:tc>
          <w:tcPr>
            <w:tcW w:w="510" w:type="pct"/>
          </w:tcPr>
          <w:p w14:paraId="792E9A87" w14:textId="77777777" w:rsidR="007F4791" w:rsidRPr="00A25F2C" w:rsidRDefault="007F4791" w:rsidP="00F13D2F">
            <w:pPr>
              <w:pStyle w:val="TableBodyText"/>
              <w:jc w:val="right"/>
            </w:pPr>
            <w:r w:rsidRPr="00A25F2C">
              <w:rPr>
                <w:b/>
              </w:rPr>
              <w:t>677.7</w:t>
            </w:r>
          </w:p>
        </w:tc>
        <w:tc>
          <w:tcPr>
            <w:tcW w:w="510" w:type="pct"/>
          </w:tcPr>
          <w:p w14:paraId="0BEB3378" w14:textId="77777777" w:rsidR="007F4791" w:rsidRPr="00A25F2C" w:rsidRDefault="007F4791" w:rsidP="00F13D2F">
            <w:pPr>
              <w:pStyle w:val="TableBodyText"/>
              <w:jc w:val="right"/>
              <w:rPr>
                <w:b/>
              </w:rPr>
            </w:pPr>
            <w:r w:rsidRPr="00A25F2C">
              <w:rPr>
                <w:b/>
              </w:rPr>
              <w:t>702.9</w:t>
            </w:r>
          </w:p>
        </w:tc>
      </w:tr>
      <w:tr w:rsidR="000A7AE4" w:rsidRPr="00A25F2C" w14:paraId="618A7C4D" w14:textId="77777777" w:rsidTr="00671EDB">
        <w:tc>
          <w:tcPr>
            <w:tcW w:w="1429" w:type="pct"/>
          </w:tcPr>
          <w:p w14:paraId="0FBDAB02" w14:textId="77777777" w:rsidR="000A7AE4" w:rsidRPr="00A25F2C" w:rsidRDefault="000A7AE4" w:rsidP="000A7AE4">
            <w:pPr>
              <w:pStyle w:val="TableBodyText"/>
              <w:rPr>
                <w:b/>
              </w:rPr>
            </w:pPr>
            <w:r w:rsidRPr="00A25F2C">
              <w:rPr>
                <w:b/>
              </w:rPr>
              <w:t>Cash Flow from Investing Activities</w:t>
            </w:r>
          </w:p>
        </w:tc>
        <w:tc>
          <w:tcPr>
            <w:tcW w:w="510" w:type="pct"/>
          </w:tcPr>
          <w:p w14:paraId="7A562A70" w14:textId="7ECB0E9E" w:rsidR="000A7AE4" w:rsidRPr="00A25F2C" w:rsidRDefault="00995D31" w:rsidP="000A7AE4">
            <w:pPr>
              <w:spacing w:before="0" w:after="0"/>
              <w:jc w:val="right"/>
            </w:pPr>
            <w:r>
              <w:t>N/A</w:t>
            </w:r>
          </w:p>
        </w:tc>
        <w:tc>
          <w:tcPr>
            <w:tcW w:w="510" w:type="pct"/>
          </w:tcPr>
          <w:p w14:paraId="74732F26" w14:textId="51676296" w:rsidR="000A7AE4" w:rsidRPr="00A25F2C" w:rsidRDefault="00995D31" w:rsidP="000A7AE4">
            <w:pPr>
              <w:pStyle w:val="TableBodyText"/>
              <w:jc w:val="right"/>
            </w:pPr>
            <w:r>
              <w:t>N/A</w:t>
            </w:r>
          </w:p>
        </w:tc>
        <w:tc>
          <w:tcPr>
            <w:tcW w:w="510" w:type="pct"/>
          </w:tcPr>
          <w:p w14:paraId="01E4B414" w14:textId="11FE1845" w:rsidR="000A7AE4" w:rsidRPr="00A25F2C" w:rsidRDefault="00995D31" w:rsidP="000A7AE4">
            <w:pPr>
              <w:pStyle w:val="TableBodyText"/>
              <w:jc w:val="right"/>
            </w:pPr>
            <w:r>
              <w:t>N/A</w:t>
            </w:r>
          </w:p>
        </w:tc>
        <w:tc>
          <w:tcPr>
            <w:tcW w:w="510" w:type="pct"/>
          </w:tcPr>
          <w:p w14:paraId="3DDD0CB4" w14:textId="7CF60E85" w:rsidR="000A7AE4" w:rsidRPr="00A25F2C" w:rsidRDefault="00995D31" w:rsidP="000A7AE4">
            <w:pPr>
              <w:pStyle w:val="TableBodyText"/>
              <w:jc w:val="right"/>
            </w:pPr>
            <w:r>
              <w:t>N/A</w:t>
            </w:r>
          </w:p>
        </w:tc>
        <w:tc>
          <w:tcPr>
            <w:tcW w:w="510" w:type="pct"/>
          </w:tcPr>
          <w:p w14:paraId="643D1A07" w14:textId="1070D9F6" w:rsidR="000A7AE4" w:rsidRPr="00A25F2C" w:rsidRDefault="00995D31" w:rsidP="000A7AE4">
            <w:pPr>
              <w:pStyle w:val="TableBodyText"/>
              <w:jc w:val="right"/>
            </w:pPr>
            <w:r>
              <w:t>N/A</w:t>
            </w:r>
          </w:p>
        </w:tc>
        <w:tc>
          <w:tcPr>
            <w:tcW w:w="510" w:type="pct"/>
          </w:tcPr>
          <w:p w14:paraId="171C57B6" w14:textId="786EF4DA" w:rsidR="000A7AE4" w:rsidRPr="00A25F2C" w:rsidRDefault="00995D31" w:rsidP="000A7AE4">
            <w:pPr>
              <w:pStyle w:val="TableBodyText"/>
              <w:jc w:val="right"/>
            </w:pPr>
            <w:r>
              <w:t>N/A</w:t>
            </w:r>
          </w:p>
        </w:tc>
        <w:tc>
          <w:tcPr>
            <w:tcW w:w="510" w:type="pct"/>
          </w:tcPr>
          <w:p w14:paraId="56A70C2A" w14:textId="4617BC15" w:rsidR="000A7AE4" w:rsidRPr="00A25F2C" w:rsidRDefault="00995D31" w:rsidP="000A7AE4">
            <w:pPr>
              <w:pStyle w:val="TableBodyText"/>
              <w:jc w:val="right"/>
            </w:pPr>
            <w:r>
              <w:t>N/A</w:t>
            </w:r>
          </w:p>
        </w:tc>
      </w:tr>
      <w:tr w:rsidR="007F4791" w:rsidRPr="00A25F2C" w14:paraId="04461776" w14:textId="77777777" w:rsidTr="00671EDB">
        <w:tc>
          <w:tcPr>
            <w:tcW w:w="1429" w:type="pct"/>
          </w:tcPr>
          <w:p w14:paraId="18CF7609" w14:textId="77777777" w:rsidR="007F4791" w:rsidRPr="00A25F2C" w:rsidRDefault="007F4791" w:rsidP="004E1FA1">
            <w:pPr>
              <w:pStyle w:val="TableBodyText"/>
            </w:pPr>
            <w:r w:rsidRPr="00A25F2C">
              <w:t>Payments for Capital Projects</w:t>
            </w:r>
          </w:p>
        </w:tc>
        <w:tc>
          <w:tcPr>
            <w:tcW w:w="510" w:type="pct"/>
          </w:tcPr>
          <w:p w14:paraId="69EFE580" w14:textId="77777777" w:rsidR="007F4791" w:rsidRPr="00A25F2C" w:rsidRDefault="007F4791" w:rsidP="00F13D2F">
            <w:pPr>
              <w:pStyle w:val="TableBodyText"/>
              <w:jc w:val="right"/>
            </w:pPr>
            <w:r w:rsidRPr="00A25F2C">
              <w:t>(781.3)</w:t>
            </w:r>
          </w:p>
        </w:tc>
        <w:tc>
          <w:tcPr>
            <w:tcW w:w="510" w:type="pct"/>
          </w:tcPr>
          <w:p w14:paraId="33443C1D" w14:textId="77777777" w:rsidR="007F4791" w:rsidRPr="00A25F2C" w:rsidRDefault="007F4791" w:rsidP="00F13D2F">
            <w:pPr>
              <w:pStyle w:val="TableBodyText"/>
              <w:jc w:val="right"/>
            </w:pPr>
            <w:r w:rsidRPr="00A25F2C">
              <w:t>(880.3)</w:t>
            </w:r>
          </w:p>
        </w:tc>
        <w:tc>
          <w:tcPr>
            <w:tcW w:w="510" w:type="pct"/>
          </w:tcPr>
          <w:p w14:paraId="5BC2EB7E" w14:textId="77777777" w:rsidR="007F4791" w:rsidRPr="00A25F2C" w:rsidRDefault="007F4791" w:rsidP="00F13D2F">
            <w:pPr>
              <w:pStyle w:val="TableBodyText"/>
              <w:jc w:val="right"/>
            </w:pPr>
            <w:r w:rsidRPr="00A25F2C">
              <w:t>(1,186.2)</w:t>
            </w:r>
          </w:p>
        </w:tc>
        <w:tc>
          <w:tcPr>
            <w:tcW w:w="510" w:type="pct"/>
          </w:tcPr>
          <w:p w14:paraId="5FD11B23" w14:textId="77777777" w:rsidR="007F4791" w:rsidRPr="00A25F2C" w:rsidRDefault="007F4791" w:rsidP="00F13D2F">
            <w:pPr>
              <w:pStyle w:val="TableBodyText"/>
              <w:jc w:val="right"/>
            </w:pPr>
            <w:r w:rsidRPr="00A25F2C">
              <w:t>(1,205.9)</w:t>
            </w:r>
          </w:p>
        </w:tc>
        <w:tc>
          <w:tcPr>
            <w:tcW w:w="510" w:type="pct"/>
          </w:tcPr>
          <w:p w14:paraId="740AE9CD" w14:textId="77777777" w:rsidR="007F4791" w:rsidRPr="00A25F2C" w:rsidRDefault="007F4791" w:rsidP="00F13D2F">
            <w:pPr>
              <w:pStyle w:val="TableBodyText"/>
              <w:jc w:val="right"/>
            </w:pPr>
            <w:r w:rsidRPr="00A25F2C">
              <w:t>(986.6)</w:t>
            </w:r>
          </w:p>
        </w:tc>
        <w:tc>
          <w:tcPr>
            <w:tcW w:w="510" w:type="pct"/>
          </w:tcPr>
          <w:p w14:paraId="61B84060" w14:textId="77777777" w:rsidR="007F4791" w:rsidRPr="00A25F2C" w:rsidRDefault="007F4791" w:rsidP="00F13D2F">
            <w:pPr>
              <w:pStyle w:val="TableBodyText"/>
              <w:jc w:val="right"/>
            </w:pPr>
            <w:r w:rsidRPr="00A25F2C">
              <w:t>(1,507.7)</w:t>
            </w:r>
          </w:p>
        </w:tc>
        <w:tc>
          <w:tcPr>
            <w:tcW w:w="510" w:type="pct"/>
          </w:tcPr>
          <w:p w14:paraId="748A9A15" w14:textId="77777777" w:rsidR="007F4791" w:rsidRPr="00A25F2C" w:rsidRDefault="007F4791" w:rsidP="00F13D2F">
            <w:pPr>
              <w:pStyle w:val="TableBodyText"/>
              <w:jc w:val="right"/>
            </w:pPr>
            <w:r w:rsidRPr="00A25F2C">
              <w:t>(1,843.4)</w:t>
            </w:r>
          </w:p>
        </w:tc>
      </w:tr>
      <w:tr w:rsidR="007F4791" w:rsidRPr="00A25F2C" w14:paraId="32D43CE6" w14:textId="77777777" w:rsidTr="00671EDB">
        <w:tc>
          <w:tcPr>
            <w:tcW w:w="1429" w:type="pct"/>
          </w:tcPr>
          <w:p w14:paraId="0FFEB8DA" w14:textId="77777777" w:rsidR="007F4791" w:rsidRPr="00A25F2C" w:rsidRDefault="007F4791" w:rsidP="004E1FA1">
            <w:pPr>
              <w:pStyle w:val="TableBodyText"/>
            </w:pPr>
            <w:r w:rsidRPr="00A25F2C">
              <w:t>Proceeds from Asset Sales</w:t>
            </w:r>
          </w:p>
        </w:tc>
        <w:tc>
          <w:tcPr>
            <w:tcW w:w="510" w:type="pct"/>
          </w:tcPr>
          <w:p w14:paraId="3A063267" w14:textId="77777777" w:rsidR="007F4791" w:rsidRPr="00A25F2C" w:rsidRDefault="007F4791" w:rsidP="00F13D2F">
            <w:pPr>
              <w:pStyle w:val="TableBodyText"/>
              <w:jc w:val="right"/>
            </w:pPr>
            <w:r w:rsidRPr="00A25F2C">
              <w:t>18.8</w:t>
            </w:r>
          </w:p>
        </w:tc>
        <w:tc>
          <w:tcPr>
            <w:tcW w:w="510" w:type="pct"/>
          </w:tcPr>
          <w:p w14:paraId="1AC85D88" w14:textId="77777777" w:rsidR="007F4791" w:rsidRPr="00A25F2C" w:rsidRDefault="007F4791" w:rsidP="00F13D2F">
            <w:pPr>
              <w:pStyle w:val="TableBodyText"/>
              <w:jc w:val="right"/>
            </w:pPr>
            <w:r w:rsidRPr="00A25F2C">
              <w:t>21.6</w:t>
            </w:r>
          </w:p>
        </w:tc>
        <w:tc>
          <w:tcPr>
            <w:tcW w:w="510" w:type="pct"/>
          </w:tcPr>
          <w:p w14:paraId="13B8E228" w14:textId="77777777" w:rsidR="007F4791" w:rsidRPr="00A25F2C" w:rsidRDefault="007F4791" w:rsidP="00F13D2F">
            <w:pPr>
              <w:pStyle w:val="TableBodyText"/>
              <w:jc w:val="right"/>
            </w:pPr>
            <w:r w:rsidRPr="00A25F2C">
              <w:t>37.2</w:t>
            </w:r>
          </w:p>
        </w:tc>
        <w:tc>
          <w:tcPr>
            <w:tcW w:w="510" w:type="pct"/>
          </w:tcPr>
          <w:p w14:paraId="36C8D167" w14:textId="77777777" w:rsidR="007F4791" w:rsidRPr="00A25F2C" w:rsidRDefault="007F4791" w:rsidP="00F13D2F">
            <w:pPr>
              <w:pStyle w:val="TableBodyText"/>
              <w:jc w:val="right"/>
            </w:pPr>
            <w:r w:rsidRPr="00A25F2C">
              <w:t>39.9</w:t>
            </w:r>
          </w:p>
        </w:tc>
        <w:tc>
          <w:tcPr>
            <w:tcW w:w="510" w:type="pct"/>
          </w:tcPr>
          <w:p w14:paraId="51163116" w14:textId="77777777" w:rsidR="007F4791" w:rsidRPr="00A25F2C" w:rsidRDefault="007F4791" w:rsidP="00F13D2F">
            <w:pPr>
              <w:pStyle w:val="TableBodyText"/>
              <w:jc w:val="right"/>
            </w:pPr>
            <w:r w:rsidRPr="00A25F2C">
              <w:t>19.9</w:t>
            </w:r>
          </w:p>
        </w:tc>
        <w:tc>
          <w:tcPr>
            <w:tcW w:w="510" w:type="pct"/>
          </w:tcPr>
          <w:p w14:paraId="5B65FC92" w14:textId="77777777" w:rsidR="007F4791" w:rsidRPr="00A25F2C" w:rsidRDefault="007F4791" w:rsidP="00F13D2F">
            <w:pPr>
              <w:pStyle w:val="TableBodyText"/>
              <w:jc w:val="right"/>
            </w:pPr>
            <w:r w:rsidRPr="00A25F2C">
              <w:t>22.8</w:t>
            </w:r>
          </w:p>
        </w:tc>
        <w:tc>
          <w:tcPr>
            <w:tcW w:w="510" w:type="pct"/>
          </w:tcPr>
          <w:p w14:paraId="7297563C" w14:textId="77777777" w:rsidR="007F4791" w:rsidRPr="00A25F2C" w:rsidRDefault="007F4791" w:rsidP="00F13D2F">
            <w:pPr>
              <w:pStyle w:val="TableBodyText"/>
              <w:jc w:val="right"/>
            </w:pPr>
            <w:r w:rsidRPr="00A25F2C">
              <w:t>4.7</w:t>
            </w:r>
          </w:p>
        </w:tc>
      </w:tr>
      <w:tr w:rsidR="007F4791" w:rsidRPr="00A25F2C" w14:paraId="3A96EFF6" w14:textId="77777777" w:rsidTr="00671EDB">
        <w:tc>
          <w:tcPr>
            <w:tcW w:w="1429" w:type="pct"/>
          </w:tcPr>
          <w:p w14:paraId="13311C33" w14:textId="77777777" w:rsidR="007F4791" w:rsidRPr="00A25F2C" w:rsidRDefault="007F4791" w:rsidP="004E1FA1">
            <w:pPr>
              <w:pStyle w:val="TableBodyText"/>
            </w:pPr>
            <w:r w:rsidRPr="00A25F2C">
              <w:rPr>
                <w:b/>
              </w:rPr>
              <w:t>Total Cash Flow from Investing Activities</w:t>
            </w:r>
          </w:p>
        </w:tc>
        <w:tc>
          <w:tcPr>
            <w:tcW w:w="510" w:type="pct"/>
          </w:tcPr>
          <w:p w14:paraId="5E137F6E" w14:textId="77777777" w:rsidR="007F4791" w:rsidRPr="00A25F2C" w:rsidRDefault="007F4791" w:rsidP="00F13D2F">
            <w:pPr>
              <w:pStyle w:val="TableBodyText"/>
              <w:jc w:val="right"/>
            </w:pPr>
            <w:r w:rsidRPr="00A25F2C">
              <w:rPr>
                <w:b/>
              </w:rPr>
              <w:t>(762.5)</w:t>
            </w:r>
          </w:p>
        </w:tc>
        <w:tc>
          <w:tcPr>
            <w:tcW w:w="510" w:type="pct"/>
          </w:tcPr>
          <w:p w14:paraId="2D0C93ED" w14:textId="77777777" w:rsidR="007F4791" w:rsidRPr="00A25F2C" w:rsidRDefault="007F4791" w:rsidP="00F13D2F">
            <w:pPr>
              <w:pStyle w:val="TableBodyText"/>
              <w:jc w:val="right"/>
            </w:pPr>
            <w:r w:rsidRPr="00A25F2C">
              <w:rPr>
                <w:b/>
              </w:rPr>
              <w:t>(858.7)</w:t>
            </w:r>
          </w:p>
        </w:tc>
        <w:tc>
          <w:tcPr>
            <w:tcW w:w="510" w:type="pct"/>
          </w:tcPr>
          <w:p w14:paraId="5693B354" w14:textId="77777777" w:rsidR="007F4791" w:rsidRPr="00A25F2C" w:rsidRDefault="007F4791" w:rsidP="00F13D2F">
            <w:pPr>
              <w:pStyle w:val="TableBodyText"/>
              <w:jc w:val="right"/>
            </w:pPr>
            <w:r w:rsidRPr="00A25F2C">
              <w:rPr>
                <w:b/>
              </w:rPr>
              <w:t>(1,149.0)</w:t>
            </w:r>
          </w:p>
        </w:tc>
        <w:tc>
          <w:tcPr>
            <w:tcW w:w="510" w:type="pct"/>
          </w:tcPr>
          <w:p w14:paraId="7B537B3F" w14:textId="77777777" w:rsidR="007F4791" w:rsidRPr="00A25F2C" w:rsidRDefault="007F4791" w:rsidP="00F13D2F">
            <w:pPr>
              <w:pStyle w:val="TableBodyText"/>
              <w:jc w:val="right"/>
            </w:pPr>
            <w:r w:rsidRPr="00A25F2C">
              <w:rPr>
                <w:b/>
              </w:rPr>
              <w:t>(1,166.0)</w:t>
            </w:r>
          </w:p>
        </w:tc>
        <w:tc>
          <w:tcPr>
            <w:tcW w:w="510" w:type="pct"/>
          </w:tcPr>
          <w:p w14:paraId="4CAC2901" w14:textId="77777777" w:rsidR="007F4791" w:rsidRPr="00A25F2C" w:rsidRDefault="007F4791" w:rsidP="00F13D2F">
            <w:pPr>
              <w:pStyle w:val="TableBodyText"/>
              <w:jc w:val="right"/>
            </w:pPr>
            <w:r w:rsidRPr="00A25F2C">
              <w:rPr>
                <w:b/>
              </w:rPr>
              <w:t>(966.7)</w:t>
            </w:r>
          </w:p>
        </w:tc>
        <w:tc>
          <w:tcPr>
            <w:tcW w:w="510" w:type="pct"/>
          </w:tcPr>
          <w:p w14:paraId="03ADF4CB" w14:textId="77777777" w:rsidR="007F4791" w:rsidRPr="00A25F2C" w:rsidRDefault="007F4791" w:rsidP="00F13D2F">
            <w:pPr>
              <w:pStyle w:val="TableBodyText"/>
              <w:jc w:val="right"/>
            </w:pPr>
            <w:r w:rsidRPr="00A25F2C">
              <w:rPr>
                <w:b/>
              </w:rPr>
              <w:t>(1,484.9)</w:t>
            </w:r>
          </w:p>
        </w:tc>
        <w:tc>
          <w:tcPr>
            <w:tcW w:w="510" w:type="pct"/>
          </w:tcPr>
          <w:p w14:paraId="4394B2AA" w14:textId="77777777" w:rsidR="007F4791" w:rsidRPr="00A25F2C" w:rsidRDefault="007F4791" w:rsidP="00F13D2F">
            <w:pPr>
              <w:pStyle w:val="TableBodyText"/>
              <w:jc w:val="right"/>
              <w:rPr>
                <w:b/>
              </w:rPr>
            </w:pPr>
            <w:r w:rsidRPr="00A25F2C">
              <w:rPr>
                <w:b/>
              </w:rPr>
              <w:t>(1,838.7)</w:t>
            </w:r>
          </w:p>
        </w:tc>
      </w:tr>
      <w:tr w:rsidR="007F4791" w:rsidRPr="00A25F2C" w14:paraId="1B7AA1DC" w14:textId="77777777" w:rsidTr="00671EDB">
        <w:tc>
          <w:tcPr>
            <w:tcW w:w="1429" w:type="pct"/>
          </w:tcPr>
          <w:p w14:paraId="4B807FCA" w14:textId="632EE3AC" w:rsidR="007F4791" w:rsidRPr="00A25F2C" w:rsidRDefault="007F4791" w:rsidP="004E1FA1">
            <w:pPr>
              <w:pStyle w:val="TableBodyText"/>
            </w:pPr>
            <w:r w:rsidRPr="00A25F2C">
              <w:t>Free Cash Flow</w:t>
            </w:r>
            <w:r w:rsidR="00E04EDF">
              <w:t xml:space="preserve"> </w:t>
            </w:r>
            <w:hyperlink w:anchor="NoteE11" w:history="1">
              <w:r w:rsidR="00E04EDF">
                <w:rPr>
                  <w:rStyle w:val="Hyperlink"/>
                </w:rPr>
                <w:t>See note</w:t>
              </w:r>
            </w:hyperlink>
          </w:p>
        </w:tc>
        <w:tc>
          <w:tcPr>
            <w:tcW w:w="510" w:type="pct"/>
          </w:tcPr>
          <w:p w14:paraId="1BB356E8" w14:textId="77777777" w:rsidR="007F4791" w:rsidRPr="00A25F2C" w:rsidRDefault="007F4791" w:rsidP="00F13D2F">
            <w:pPr>
              <w:pStyle w:val="TableBodyText"/>
              <w:jc w:val="right"/>
            </w:pPr>
            <w:r w:rsidRPr="00A25F2C">
              <w:t>(240.9)</w:t>
            </w:r>
          </w:p>
        </w:tc>
        <w:tc>
          <w:tcPr>
            <w:tcW w:w="510" w:type="pct"/>
          </w:tcPr>
          <w:p w14:paraId="4A19B2AF" w14:textId="77777777" w:rsidR="007F4791" w:rsidRPr="00A25F2C" w:rsidRDefault="007F4791" w:rsidP="00F13D2F">
            <w:pPr>
              <w:pStyle w:val="TableBodyText"/>
              <w:jc w:val="right"/>
            </w:pPr>
            <w:r w:rsidRPr="00A25F2C">
              <w:t>(393.5)</w:t>
            </w:r>
          </w:p>
        </w:tc>
        <w:tc>
          <w:tcPr>
            <w:tcW w:w="510" w:type="pct"/>
          </w:tcPr>
          <w:p w14:paraId="56E8CA73" w14:textId="77777777" w:rsidR="007F4791" w:rsidRPr="00A25F2C" w:rsidRDefault="007F4791" w:rsidP="00F13D2F">
            <w:pPr>
              <w:pStyle w:val="TableBodyText"/>
              <w:jc w:val="right"/>
            </w:pPr>
            <w:r w:rsidRPr="00A25F2C">
              <w:t>(650.7)</w:t>
            </w:r>
          </w:p>
        </w:tc>
        <w:tc>
          <w:tcPr>
            <w:tcW w:w="510" w:type="pct"/>
          </w:tcPr>
          <w:p w14:paraId="3BAB86AD" w14:textId="77777777" w:rsidR="007F4791" w:rsidRPr="00A25F2C" w:rsidRDefault="007F4791" w:rsidP="00F13D2F">
            <w:pPr>
              <w:pStyle w:val="TableBodyText"/>
              <w:jc w:val="right"/>
            </w:pPr>
            <w:r w:rsidRPr="00A25F2C">
              <w:t>(633.5)</w:t>
            </w:r>
          </w:p>
        </w:tc>
        <w:tc>
          <w:tcPr>
            <w:tcW w:w="510" w:type="pct"/>
          </w:tcPr>
          <w:p w14:paraId="3E5A8014" w14:textId="77777777" w:rsidR="007F4791" w:rsidRPr="00A25F2C" w:rsidRDefault="007F4791" w:rsidP="00F13D2F">
            <w:pPr>
              <w:pStyle w:val="TableBodyText"/>
              <w:jc w:val="right"/>
            </w:pPr>
            <w:r w:rsidRPr="00A25F2C">
              <w:t>(334.4)</w:t>
            </w:r>
          </w:p>
        </w:tc>
        <w:tc>
          <w:tcPr>
            <w:tcW w:w="510" w:type="pct"/>
          </w:tcPr>
          <w:p w14:paraId="30F041F4" w14:textId="77777777" w:rsidR="007F4791" w:rsidRPr="00A25F2C" w:rsidRDefault="007F4791" w:rsidP="00F13D2F">
            <w:pPr>
              <w:pStyle w:val="TableBodyText"/>
              <w:jc w:val="right"/>
            </w:pPr>
            <w:r w:rsidRPr="00A25F2C">
              <w:t>(830.0)</w:t>
            </w:r>
          </w:p>
        </w:tc>
        <w:tc>
          <w:tcPr>
            <w:tcW w:w="510" w:type="pct"/>
          </w:tcPr>
          <w:p w14:paraId="0C1EFA72" w14:textId="77777777" w:rsidR="007F4791" w:rsidRPr="00A25F2C" w:rsidRDefault="007F4791" w:rsidP="00F13D2F">
            <w:pPr>
              <w:pStyle w:val="TableBodyText"/>
              <w:jc w:val="right"/>
            </w:pPr>
            <w:r w:rsidRPr="00A25F2C">
              <w:t>(1,140.5)</w:t>
            </w:r>
          </w:p>
        </w:tc>
      </w:tr>
      <w:tr w:rsidR="00671EDB" w:rsidRPr="00A25F2C" w14:paraId="7AACBC27" w14:textId="77777777" w:rsidTr="00671EDB">
        <w:tc>
          <w:tcPr>
            <w:tcW w:w="1429" w:type="pct"/>
          </w:tcPr>
          <w:p w14:paraId="4AA04279" w14:textId="77777777" w:rsidR="000A7AE4" w:rsidRPr="00A25F2C" w:rsidRDefault="000A7AE4" w:rsidP="000A7AE4">
            <w:pPr>
              <w:pStyle w:val="TableBodyText"/>
              <w:rPr>
                <w:b/>
              </w:rPr>
            </w:pPr>
            <w:r w:rsidRPr="00A25F2C">
              <w:rPr>
                <w:b/>
              </w:rPr>
              <w:t>Cash Flow from Financing Activities</w:t>
            </w:r>
          </w:p>
        </w:tc>
        <w:tc>
          <w:tcPr>
            <w:tcW w:w="510" w:type="pct"/>
          </w:tcPr>
          <w:p w14:paraId="0122F5BA" w14:textId="21B5B216" w:rsidR="000A7AE4" w:rsidRPr="00A25F2C" w:rsidRDefault="00995D31" w:rsidP="000A7AE4">
            <w:pPr>
              <w:spacing w:before="0" w:after="0"/>
              <w:jc w:val="right"/>
            </w:pPr>
            <w:r>
              <w:t>N/A</w:t>
            </w:r>
          </w:p>
        </w:tc>
        <w:tc>
          <w:tcPr>
            <w:tcW w:w="510" w:type="pct"/>
          </w:tcPr>
          <w:p w14:paraId="5770A0FB" w14:textId="3E955BD2" w:rsidR="000A7AE4" w:rsidRPr="00A25F2C" w:rsidRDefault="00995D31" w:rsidP="000A7AE4">
            <w:pPr>
              <w:pStyle w:val="TableBodyText"/>
              <w:jc w:val="right"/>
            </w:pPr>
            <w:r>
              <w:t>N/A</w:t>
            </w:r>
          </w:p>
        </w:tc>
        <w:tc>
          <w:tcPr>
            <w:tcW w:w="510" w:type="pct"/>
          </w:tcPr>
          <w:p w14:paraId="16DC9201" w14:textId="596F304F" w:rsidR="000A7AE4" w:rsidRPr="00A25F2C" w:rsidRDefault="00995D31" w:rsidP="000A7AE4">
            <w:pPr>
              <w:pStyle w:val="TableBodyText"/>
              <w:jc w:val="right"/>
            </w:pPr>
            <w:r>
              <w:t>N/A</w:t>
            </w:r>
          </w:p>
        </w:tc>
        <w:tc>
          <w:tcPr>
            <w:tcW w:w="510" w:type="pct"/>
          </w:tcPr>
          <w:p w14:paraId="26D9FB85" w14:textId="3BE217B7" w:rsidR="000A7AE4" w:rsidRPr="00A25F2C" w:rsidRDefault="00995D31" w:rsidP="000A7AE4">
            <w:pPr>
              <w:pStyle w:val="TableBodyText"/>
              <w:jc w:val="right"/>
            </w:pPr>
            <w:r>
              <w:t>N/A</w:t>
            </w:r>
          </w:p>
        </w:tc>
        <w:tc>
          <w:tcPr>
            <w:tcW w:w="510" w:type="pct"/>
          </w:tcPr>
          <w:p w14:paraId="1392D7EA" w14:textId="08C37950" w:rsidR="000A7AE4" w:rsidRPr="00A25F2C" w:rsidRDefault="00995D31" w:rsidP="000A7AE4">
            <w:pPr>
              <w:pStyle w:val="TableBodyText"/>
              <w:jc w:val="right"/>
            </w:pPr>
            <w:r>
              <w:t>N/A</w:t>
            </w:r>
          </w:p>
        </w:tc>
        <w:tc>
          <w:tcPr>
            <w:tcW w:w="510" w:type="pct"/>
          </w:tcPr>
          <w:p w14:paraId="0371E123" w14:textId="179ADEB4" w:rsidR="000A7AE4" w:rsidRPr="00A25F2C" w:rsidRDefault="00995D31" w:rsidP="000A7AE4">
            <w:pPr>
              <w:pStyle w:val="TableBodyText"/>
              <w:jc w:val="right"/>
            </w:pPr>
            <w:r>
              <w:t>N/A</w:t>
            </w:r>
          </w:p>
        </w:tc>
        <w:tc>
          <w:tcPr>
            <w:tcW w:w="510" w:type="pct"/>
          </w:tcPr>
          <w:p w14:paraId="353984E9" w14:textId="5C5323AE" w:rsidR="000A7AE4" w:rsidRPr="00A25F2C" w:rsidRDefault="00995D31" w:rsidP="000A7AE4">
            <w:pPr>
              <w:pStyle w:val="TableBodyText"/>
              <w:jc w:val="right"/>
            </w:pPr>
            <w:r>
              <w:t>N/A</w:t>
            </w:r>
          </w:p>
        </w:tc>
      </w:tr>
      <w:tr w:rsidR="007F4791" w:rsidRPr="00A25F2C" w14:paraId="31AF79DF" w14:textId="77777777" w:rsidTr="00671EDB">
        <w:tc>
          <w:tcPr>
            <w:tcW w:w="1429" w:type="pct"/>
          </w:tcPr>
          <w:p w14:paraId="4FBB23E2" w14:textId="77777777" w:rsidR="007F4791" w:rsidRPr="00A25F2C" w:rsidRDefault="007F4791" w:rsidP="004E1FA1">
            <w:pPr>
              <w:pStyle w:val="TableBodyText"/>
            </w:pPr>
            <w:r w:rsidRPr="00A25F2C">
              <w:t>Net Borrowings/(Repayments)</w:t>
            </w:r>
          </w:p>
        </w:tc>
        <w:tc>
          <w:tcPr>
            <w:tcW w:w="510" w:type="pct"/>
          </w:tcPr>
          <w:p w14:paraId="595C7323" w14:textId="77777777" w:rsidR="007F4791" w:rsidRPr="00A25F2C" w:rsidRDefault="007F4791" w:rsidP="00F13D2F">
            <w:pPr>
              <w:pStyle w:val="TableBodyText"/>
              <w:jc w:val="right"/>
            </w:pPr>
            <w:r w:rsidRPr="00A25F2C">
              <w:t>309.1</w:t>
            </w:r>
          </w:p>
        </w:tc>
        <w:tc>
          <w:tcPr>
            <w:tcW w:w="510" w:type="pct"/>
          </w:tcPr>
          <w:p w14:paraId="4AB9DDFB" w14:textId="77777777" w:rsidR="007F4791" w:rsidRPr="00A25F2C" w:rsidRDefault="007F4791" w:rsidP="00F13D2F">
            <w:pPr>
              <w:pStyle w:val="TableBodyText"/>
              <w:jc w:val="right"/>
            </w:pPr>
            <w:r w:rsidRPr="00A25F2C">
              <w:t>452.7</w:t>
            </w:r>
          </w:p>
        </w:tc>
        <w:tc>
          <w:tcPr>
            <w:tcW w:w="510" w:type="pct"/>
          </w:tcPr>
          <w:p w14:paraId="5785BEF9" w14:textId="77777777" w:rsidR="007F4791" w:rsidRPr="00A25F2C" w:rsidRDefault="007F4791" w:rsidP="00F13D2F">
            <w:pPr>
              <w:pStyle w:val="TableBodyText"/>
              <w:jc w:val="right"/>
            </w:pPr>
            <w:r w:rsidRPr="00A25F2C">
              <w:t>716.7</w:t>
            </w:r>
          </w:p>
        </w:tc>
        <w:tc>
          <w:tcPr>
            <w:tcW w:w="510" w:type="pct"/>
          </w:tcPr>
          <w:p w14:paraId="40FC39AA" w14:textId="77777777" w:rsidR="007F4791" w:rsidRPr="00A25F2C" w:rsidRDefault="007F4791" w:rsidP="00F13D2F">
            <w:pPr>
              <w:pStyle w:val="TableBodyText"/>
              <w:jc w:val="right"/>
            </w:pPr>
            <w:r w:rsidRPr="00A25F2C">
              <w:t>673.0</w:t>
            </w:r>
          </w:p>
        </w:tc>
        <w:tc>
          <w:tcPr>
            <w:tcW w:w="510" w:type="pct"/>
          </w:tcPr>
          <w:p w14:paraId="273CF51E" w14:textId="77777777" w:rsidR="007F4791" w:rsidRPr="00A25F2C" w:rsidRDefault="007F4791" w:rsidP="00F13D2F">
            <w:pPr>
              <w:pStyle w:val="TableBodyText"/>
              <w:jc w:val="right"/>
            </w:pPr>
            <w:r w:rsidRPr="00A25F2C">
              <w:t>411.6</w:t>
            </w:r>
          </w:p>
        </w:tc>
        <w:tc>
          <w:tcPr>
            <w:tcW w:w="510" w:type="pct"/>
          </w:tcPr>
          <w:p w14:paraId="689448E0" w14:textId="77777777" w:rsidR="007F4791" w:rsidRPr="00A25F2C" w:rsidRDefault="007F4791" w:rsidP="00F13D2F">
            <w:pPr>
              <w:pStyle w:val="TableBodyText"/>
              <w:jc w:val="right"/>
            </w:pPr>
            <w:r w:rsidRPr="00A25F2C">
              <w:t>933.5</w:t>
            </w:r>
          </w:p>
        </w:tc>
        <w:tc>
          <w:tcPr>
            <w:tcW w:w="510" w:type="pct"/>
          </w:tcPr>
          <w:p w14:paraId="1BBCB66F" w14:textId="77777777" w:rsidR="007F4791" w:rsidRPr="00A25F2C" w:rsidRDefault="007F4791" w:rsidP="00F13D2F">
            <w:pPr>
              <w:pStyle w:val="TableBodyText"/>
              <w:jc w:val="right"/>
            </w:pPr>
            <w:r w:rsidRPr="00A25F2C">
              <w:t>1,293.9</w:t>
            </w:r>
          </w:p>
        </w:tc>
      </w:tr>
      <w:tr w:rsidR="007F4791" w:rsidRPr="00A25F2C" w14:paraId="71F29A7B" w14:textId="77777777" w:rsidTr="00671EDB">
        <w:tc>
          <w:tcPr>
            <w:tcW w:w="1429" w:type="pct"/>
          </w:tcPr>
          <w:p w14:paraId="33E326AC" w14:textId="2E96FF25" w:rsidR="007F4791" w:rsidRPr="00A25F2C" w:rsidRDefault="007F4791" w:rsidP="004E1FA1">
            <w:pPr>
              <w:pStyle w:val="TableBodyText"/>
            </w:pPr>
            <w:r w:rsidRPr="00A25F2C">
              <w:t xml:space="preserve">VDP Service Concession </w:t>
            </w:r>
            <w:r w:rsidR="005C41F0" w:rsidRPr="00A25F2C">
              <w:t>liability</w:t>
            </w:r>
            <w:r w:rsidRPr="00A25F2C">
              <w:t xml:space="preserve"> and Lease Repayments</w:t>
            </w:r>
          </w:p>
        </w:tc>
        <w:tc>
          <w:tcPr>
            <w:tcW w:w="510" w:type="pct"/>
          </w:tcPr>
          <w:p w14:paraId="2C4F52FA" w14:textId="77777777" w:rsidR="007F4791" w:rsidRPr="00A25F2C" w:rsidRDefault="007F4791" w:rsidP="00F13D2F">
            <w:pPr>
              <w:pStyle w:val="TableBodyText"/>
              <w:jc w:val="right"/>
            </w:pPr>
            <w:r w:rsidRPr="00A25F2C">
              <w:t>(40.2)</w:t>
            </w:r>
          </w:p>
        </w:tc>
        <w:tc>
          <w:tcPr>
            <w:tcW w:w="510" w:type="pct"/>
          </w:tcPr>
          <w:p w14:paraId="7A2F0706" w14:textId="77777777" w:rsidR="007F4791" w:rsidRPr="00A25F2C" w:rsidRDefault="007F4791" w:rsidP="00F13D2F">
            <w:pPr>
              <w:pStyle w:val="TableBodyText"/>
              <w:jc w:val="right"/>
            </w:pPr>
            <w:r w:rsidRPr="00A25F2C">
              <w:t>(40.5)</w:t>
            </w:r>
          </w:p>
        </w:tc>
        <w:tc>
          <w:tcPr>
            <w:tcW w:w="510" w:type="pct"/>
          </w:tcPr>
          <w:p w14:paraId="792D78F2" w14:textId="77777777" w:rsidR="007F4791" w:rsidRPr="00A25F2C" w:rsidRDefault="007F4791" w:rsidP="00F13D2F">
            <w:pPr>
              <w:pStyle w:val="TableBodyText"/>
              <w:jc w:val="right"/>
            </w:pPr>
            <w:r w:rsidRPr="00A25F2C">
              <w:t>(55.6)</w:t>
            </w:r>
          </w:p>
        </w:tc>
        <w:tc>
          <w:tcPr>
            <w:tcW w:w="510" w:type="pct"/>
          </w:tcPr>
          <w:p w14:paraId="6085E136" w14:textId="77777777" w:rsidR="007F4791" w:rsidRPr="00A25F2C" w:rsidRDefault="007F4791" w:rsidP="00F13D2F">
            <w:pPr>
              <w:pStyle w:val="TableBodyText"/>
              <w:jc w:val="right"/>
            </w:pPr>
            <w:r w:rsidRPr="00A25F2C">
              <w:t>(67.4)</w:t>
            </w:r>
          </w:p>
        </w:tc>
        <w:tc>
          <w:tcPr>
            <w:tcW w:w="510" w:type="pct"/>
          </w:tcPr>
          <w:p w14:paraId="0B1DB3DB" w14:textId="77777777" w:rsidR="007F4791" w:rsidRPr="00A25F2C" w:rsidRDefault="007F4791" w:rsidP="00F13D2F">
            <w:pPr>
              <w:pStyle w:val="TableBodyText"/>
              <w:jc w:val="right"/>
            </w:pPr>
            <w:r w:rsidRPr="00A25F2C">
              <w:t>(78.8)</w:t>
            </w:r>
          </w:p>
        </w:tc>
        <w:tc>
          <w:tcPr>
            <w:tcW w:w="510" w:type="pct"/>
          </w:tcPr>
          <w:p w14:paraId="0D8986DE" w14:textId="77777777" w:rsidR="007F4791" w:rsidRPr="00A25F2C" w:rsidRDefault="007F4791" w:rsidP="00F13D2F">
            <w:pPr>
              <w:pStyle w:val="TableBodyText"/>
              <w:jc w:val="right"/>
            </w:pPr>
            <w:r w:rsidRPr="00A25F2C">
              <w:t>(91.6)</w:t>
            </w:r>
          </w:p>
        </w:tc>
        <w:tc>
          <w:tcPr>
            <w:tcW w:w="510" w:type="pct"/>
          </w:tcPr>
          <w:p w14:paraId="7007AFDD" w14:textId="77777777" w:rsidR="007F4791" w:rsidRPr="00A25F2C" w:rsidRDefault="007F4791" w:rsidP="00F13D2F">
            <w:pPr>
              <w:pStyle w:val="TableBodyText"/>
              <w:jc w:val="right"/>
            </w:pPr>
            <w:r w:rsidRPr="00A25F2C">
              <w:t>(127.1)</w:t>
            </w:r>
          </w:p>
        </w:tc>
      </w:tr>
      <w:tr w:rsidR="007F4791" w:rsidRPr="00A25F2C" w14:paraId="1E8DF9E8" w14:textId="77777777" w:rsidTr="00671EDB">
        <w:tc>
          <w:tcPr>
            <w:tcW w:w="1429" w:type="pct"/>
          </w:tcPr>
          <w:p w14:paraId="031D61CA" w14:textId="77777777" w:rsidR="007F4791" w:rsidRPr="00A25F2C" w:rsidRDefault="007F4791" w:rsidP="004E1FA1">
            <w:pPr>
              <w:pStyle w:val="TableBodyText"/>
            </w:pPr>
            <w:r w:rsidRPr="00A25F2C">
              <w:lastRenderedPageBreak/>
              <w:t>Capital Repatriation</w:t>
            </w:r>
          </w:p>
        </w:tc>
        <w:tc>
          <w:tcPr>
            <w:tcW w:w="510" w:type="pct"/>
          </w:tcPr>
          <w:p w14:paraId="193D34AA" w14:textId="77777777" w:rsidR="007F4791" w:rsidRPr="00A25F2C" w:rsidRDefault="007F4791" w:rsidP="00F13D2F">
            <w:pPr>
              <w:pStyle w:val="TableBodyText"/>
              <w:jc w:val="right"/>
            </w:pPr>
            <w:r w:rsidRPr="00A25F2C">
              <w:t>(40.4)</w:t>
            </w:r>
          </w:p>
        </w:tc>
        <w:tc>
          <w:tcPr>
            <w:tcW w:w="510" w:type="pct"/>
          </w:tcPr>
          <w:p w14:paraId="5C1A0CAA" w14:textId="77777777" w:rsidR="007F4791" w:rsidRPr="00A25F2C" w:rsidRDefault="007F4791" w:rsidP="00F13D2F">
            <w:pPr>
              <w:pStyle w:val="TableBodyText"/>
              <w:jc w:val="right"/>
            </w:pPr>
            <w:r w:rsidRPr="00A25F2C">
              <w:t>(40.4)</w:t>
            </w:r>
          </w:p>
        </w:tc>
        <w:tc>
          <w:tcPr>
            <w:tcW w:w="510" w:type="pct"/>
          </w:tcPr>
          <w:p w14:paraId="6E64BB5C" w14:textId="77777777" w:rsidR="007F4791" w:rsidRPr="00A25F2C" w:rsidRDefault="007F4791" w:rsidP="00F13D2F">
            <w:pPr>
              <w:pStyle w:val="TableBodyText"/>
              <w:jc w:val="right"/>
            </w:pPr>
            <w:r w:rsidRPr="00A25F2C">
              <w:t>(40.4)</w:t>
            </w:r>
          </w:p>
        </w:tc>
        <w:tc>
          <w:tcPr>
            <w:tcW w:w="510" w:type="pct"/>
          </w:tcPr>
          <w:p w14:paraId="29749DF4" w14:textId="3EFC24AA" w:rsidR="007F4791" w:rsidRPr="00A25F2C" w:rsidRDefault="00995D31" w:rsidP="00F13D2F">
            <w:pPr>
              <w:pStyle w:val="TableBodyText"/>
              <w:jc w:val="right"/>
            </w:pPr>
            <w:r>
              <w:t>N/A</w:t>
            </w:r>
          </w:p>
        </w:tc>
        <w:tc>
          <w:tcPr>
            <w:tcW w:w="510" w:type="pct"/>
          </w:tcPr>
          <w:p w14:paraId="79DC51E9" w14:textId="77777777" w:rsidR="007F4791" w:rsidRPr="00A25F2C" w:rsidRDefault="007F4791" w:rsidP="00F13D2F">
            <w:pPr>
              <w:pStyle w:val="TableBodyText"/>
              <w:jc w:val="right"/>
            </w:pPr>
            <w:r w:rsidRPr="00A25F2C">
              <w:t>0.0</w:t>
            </w:r>
          </w:p>
        </w:tc>
        <w:tc>
          <w:tcPr>
            <w:tcW w:w="510" w:type="pct"/>
          </w:tcPr>
          <w:p w14:paraId="143F414C" w14:textId="77777777" w:rsidR="007F4791" w:rsidRPr="00A25F2C" w:rsidRDefault="007F4791" w:rsidP="00F13D2F">
            <w:pPr>
              <w:pStyle w:val="TableBodyText"/>
              <w:jc w:val="right"/>
            </w:pPr>
            <w:r w:rsidRPr="00A25F2C">
              <w:t>0.0</w:t>
            </w:r>
          </w:p>
        </w:tc>
        <w:tc>
          <w:tcPr>
            <w:tcW w:w="510" w:type="pct"/>
          </w:tcPr>
          <w:p w14:paraId="59B8B894" w14:textId="77777777" w:rsidR="007F4791" w:rsidRPr="00A25F2C" w:rsidRDefault="007F4791" w:rsidP="00F13D2F">
            <w:pPr>
              <w:pStyle w:val="TableBodyText"/>
              <w:jc w:val="right"/>
            </w:pPr>
            <w:r w:rsidRPr="00A25F2C">
              <w:t>0.0</w:t>
            </w:r>
          </w:p>
        </w:tc>
      </w:tr>
      <w:tr w:rsidR="007F4791" w:rsidRPr="00A25F2C" w14:paraId="536EE63A" w14:textId="77777777" w:rsidTr="00671EDB">
        <w:tc>
          <w:tcPr>
            <w:tcW w:w="1429" w:type="pct"/>
          </w:tcPr>
          <w:p w14:paraId="47B90196" w14:textId="77777777" w:rsidR="007F4791" w:rsidRPr="00A25F2C" w:rsidRDefault="007F4791" w:rsidP="004E1FA1">
            <w:pPr>
              <w:pStyle w:val="TableBodyText"/>
            </w:pPr>
            <w:r w:rsidRPr="00A25F2C">
              <w:t>Dividends Paid</w:t>
            </w:r>
          </w:p>
        </w:tc>
        <w:tc>
          <w:tcPr>
            <w:tcW w:w="510" w:type="pct"/>
          </w:tcPr>
          <w:p w14:paraId="1F7EBC33" w14:textId="77777777" w:rsidR="007F4791" w:rsidRPr="00A25F2C" w:rsidRDefault="007F4791" w:rsidP="00F13D2F">
            <w:pPr>
              <w:pStyle w:val="TableBodyText"/>
              <w:jc w:val="right"/>
            </w:pPr>
            <w:r w:rsidRPr="00A25F2C">
              <w:t>(12.3)</w:t>
            </w:r>
          </w:p>
        </w:tc>
        <w:tc>
          <w:tcPr>
            <w:tcW w:w="510" w:type="pct"/>
          </w:tcPr>
          <w:p w14:paraId="5C06A8CC" w14:textId="1F10A8B4" w:rsidR="007F4791" w:rsidRPr="00A25F2C" w:rsidRDefault="00995D31" w:rsidP="00F13D2F">
            <w:pPr>
              <w:pStyle w:val="TableBodyText"/>
              <w:jc w:val="right"/>
            </w:pPr>
            <w:r>
              <w:t>N/A</w:t>
            </w:r>
          </w:p>
        </w:tc>
        <w:tc>
          <w:tcPr>
            <w:tcW w:w="510" w:type="pct"/>
          </w:tcPr>
          <w:p w14:paraId="068683C3" w14:textId="77777777" w:rsidR="007F4791" w:rsidRPr="00A25F2C" w:rsidRDefault="007F4791" w:rsidP="00F13D2F">
            <w:pPr>
              <w:pStyle w:val="TableBodyText"/>
              <w:jc w:val="right"/>
            </w:pPr>
            <w:r w:rsidRPr="00A25F2C">
              <w:t>(7.3)</w:t>
            </w:r>
          </w:p>
        </w:tc>
        <w:tc>
          <w:tcPr>
            <w:tcW w:w="510" w:type="pct"/>
          </w:tcPr>
          <w:p w14:paraId="717987A9" w14:textId="77777777" w:rsidR="007F4791" w:rsidRPr="00A25F2C" w:rsidRDefault="007F4791" w:rsidP="00F13D2F">
            <w:pPr>
              <w:pStyle w:val="TableBodyText"/>
              <w:jc w:val="right"/>
            </w:pPr>
            <w:r w:rsidRPr="00A25F2C">
              <w:t>(11.8)</w:t>
            </w:r>
          </w:p>
        </w:tc>
        <w:tc>
          <w:tcPr>
            <w:tcW w:w="510" w:type="pct"/>
          </w:tcPr>
          <w:p w14:paraId="5E564498" w14:textId="77777777" w:rsidR="007F4791" w:rsidRPr="00A25F2C" w:rsidRDefault="007F4791" w:rsidP="00F13D2F">
            <w:pPr>
              <w:pStyle w:val="TableBodyText"/>
              <w:jc w:val="right"/>
            </w:pPr>
            <w:r w:rsidRPr="00A25F2C">
              <w:t>(18.3)</w:t>
            </w:r>
          </w:p>
        </w:tc>
        <w:tc>
          <w:tcPr>
            <w:tcW w:w="510" w:type="pct"/>
          </w:tcPr>
          <w:p w14:paraId="2E927222" w14:textId="77777777" w:rsidR="007F4791" w:rsidRPr="00A25F2C" w:rsidRDefault="007F4791" w:rsidP="00F13D2F">
            <w:pPr>
              <w:pStyle w:val="TableBodyText"/>
              <w:jc w:val="right"/>
            </w:pPr>
            <w:r w:rsidRPr="00A25F2C">
              <w:t>(34.7)</w:t>
            </w:r>
          </w:p>
        </w:tc>
        <w:tc>
          <w:tcPr>
            <w:tcW w:w="510" w:type="pct"/>
          </w:tcPr>
          <w:p w14:paraId="43313FF1" w14:textId="77777777" w:rsidR="007F4791" w:rsidRPr="00A25F2C" w:rsidRDefault="007F4791" w:rsidP="00F13D2F">
            <w:pPr>
              <w:pStyle w:val="TableBodyText"/>
              <w:jc w:val="right"/>
            </w:pPr>
            <w:r w:rsidRPr="00A25F2C">
              <w:t>(30.9)</w:t>
            </w:r>
          </w:p>
        </w:tc>
      </w:tr>
      <w:tr w:rsidR="007F4791" w:rsidRPr="00A25F2C" w14:paraId="4FE44A6F" w14:textId="77777777" w:rsidTr="00671EDB">
        <w:tc>
          <w:tcPr>
            <w:tcW w:w="1429" w:type="pct"/>
          </w:tcPr>
          <w:p w14:paraId="60832B91" w14:textId="77777777" w:rsidR="007F4791" w:rsidRPr="00A25F2C" w:rsidRDefault="007F4791" w:rsidP="004E1FA1">
            <w:pPr>
              <w:pStyle w:val="TableBodyText"/>
            </w:pPr>
            <w:r w:rsidRPr="00A25F2C">
              <w:rPr>
                <w:b/>
              </w:rPr>
              <w:t>Total Cash Flow from Financing Activities</w:t>
            </w:r>
          </w:p>
        </w:tc>
        <w:tc>
          <w:tcPr>
            <w:tcW w:w="510" w:type="pct"/>
          </w:tcPr>
          <w:p w14:paraId="232B341E" w14:textId="77777777" w:rsidR="007F4791" w:rsidRPr="00A25F2C" w:rsidRDefault="007F4791" w:rsidP="00F13D2F">
            <w:pPr>
              <w:pStyle w:val="TableBodyText"/>
              <w:jc w:val="right"/>
            </w:pPr>
            <w:r w:rsidRPr="00A25F2C">
              <w:rPr>
                <w:b/>
              </w:rPr>
              <w:t>216.2</w:t>
            </w:r>
          </w:p>
        </w:tc>
        <w:tc>
          <w:tcPr>
            <w:tcW w:w="510" w:type="pct"/>
          </w:tcPr>
          <w:p w14:paraId="4B7B1F97" w14:textId="77777777" w:rsidR="007F4791" w:rsidRPr="00A25F2C" w:rsidRDefault="007F4791" w:rsidP="00F13D2F">
            <w:pPr>
              <w:pStyle w:val="TableBodyText"/>
              <w:jc w:val="right"/>
            </w:pPr>
            <w:r w:rsidRPr="00A25F2C">
              <w:rPr>
                <w:b/>
              </w:rPr>
              <w:t>371.8</w:t>
            </w:r>
          </w:p>
        </w:tc>
        <w:tc>
          <w:tcPr>
            <w:tcW w:w="510" w:type="pct"/>
          </w:tcPr>
          <w:p w14:paraId="4D77C2A4" w14:textId="77777777" w:rsidR="007F4791" w:rsidRPr="00A25F2C" w:rsidRDefault="007F4791" w:rsidP="00F13D2F">
            <w:pPr>
              <w:pStyle w:val="TableBodyText"/>
              <w:jc w:val="right"/>
            </w:pPr>
            <w:r w:rsidRPr="00A25F2C">
              <w:rPr>
                <w:b/>
              </w:rPr>
              <w:t>613.4</w:t>
            </w:r>
          </w:p>
        </w:tc>
        <w:tc>
          <w:tcPr>
            <w:tcW w:w="510" w:type="pct"/>
          </w:tcPr>
          <w:p w14:paraId="0672DECE" w14:textId="77777777" w:rsidR="007F4791" w:rsidRPr="00A25F2C" w:rsidRDefault="007F4791" w:rsidP="00F13D2F">
            <w:pPr>
              <w:pStyle w:val="TableBodyText"/>
              <w:jc w:val="right"/>
            </w:pPr>
            <w:r w:rsidRPr="00A25F2C">
              <w:rPr>
                <w:b/>
              </w:rPr>
              <w:t>593.8</w:t>
            </w:r>
          </w:p>
        </w:tc>
        <w:tc>
          <w:tcPr>
            <w:tcW w:w="510" w:type="pct"/>
          </w:tcPr>
          <w:p w14:paraId="7FDA3469" w14:textId="77777777" w:rsidR="007F4791" w:rsidRPr="00A25F2C" w:rsidRDefault="007F4791" w:rsidP="00F13D2F">
            <w:pPr>
              <w:pStyle w:val="TableBodyText"/>
              <w:jc w:val="right"/>
            </w:pPr>
            <w:r w:rsidRPr="00A25F2C">
              <w:rPr>
                <w:b/>
              </w:rPr>
              <w:t>314.5</w:t>
            </w:r>
          </w:p>
        </w:tc>
        <w:tc>
          <w:tcPr>
            <w:tcW w:w="510" w:type="pct"/>
          </w:tcPr>
          <w:p w14:paraId="7119AD75" w14:textId="77777777" w:rsidR="007F4791" w:rsidRPr="00A25F2C" w:rsidRDefault="007F4791" w:rsidP="00F13D2F">
            <w:pPr>
              <w:pStyle w:val="TableBodyText"/>
              <w:jc w:val="right"/>
            </w:pPr>
            <w:r w:rsidRPr="00A25F2C">
              <w:rPr>
                <w:b/>
              </w:rPr>
              <w:t>807.2</w:t>
            </w:r>
          </w:p>
        </w:tc>
        <w:tc>
          <w:tcPr>
            <w:tcW w:w="510" w:type="pct"/>
          </w:tcPr>
          <w:p w14:paraId="01205187" w14:textId="77777777" w:rsidR="007F4791" w:rsidRPr="00A25F2C" w:rsidRDefault="007F4791" w:rsidP="00F13D2F">
            <w:pPr>
              <w:pStyle w:val="TableBodyText"/>
              <w:jc w:val="right"/>
              <w:rPr>
                <w:b/>
              </w:rPr>
            </w:pPr>
            <w:r w:rsidRPr="00A25F2C">
              <w:rPr>
                <w:b/>
              </w:rPr>
              <w:t>1,135.9</w:t>
            </w:r>
          </w:p>
        </w:tc>
      </w:tr>
      <w:tr w:rsidR="007F4791" w:rsidRPr="00A25F2C" w14:paraId="3F960D3D" w14:textId="77777777" w:rsidTr="00671EDB">
        <w:tc>
          <w:tcPr>
            <w:tcW w:w="1429" w:type="pct"/>
          </w:tcPr>
          <w:p w14:paraId="04086C7B" w14:textId="77777777" w:rsidR="007F4791" w:rsidRPr="00A25F2C" w:rsidRDefault="007F4791" w:rsidP="004E1FA1">
            <w:pPr>
              <w:pStyle w:val="TableBodyText"/>
            </w:pPr>
            <w:r w:rsidRPr="00A25F2C">
              <w:rPr>
                <w:b/>
              </w:rPr>
              <w:t>Net Cash Movement</w:t>
            </w:r>
          </w:p>
        </w:tc>
        <w:tc>
          <w:tcPr>
            <w:tcW w:w="510" w:type="pct"/>
          </w:tcPr>
          <w:p w14:paraId="523655B1" w14:textId="77777777" w:rsidR="007F4791" w:rsidRPr="00A25F2C" w:rsidRDefault="007F4791" w:rsidP="00F13D2F">
            <w:pPr>
              <w:pStyle w:val="TableBodyText"/>
              <w:jc w:val="right"/>
            </w:pPr>
            <w:r w:rsidRPr="00A25F2C">
              <w:rPr>
                <w:b/>
              </w:rPr>
              <w:t>(6.2)</w:t>
            </w:r>
          </w:p>
        </w:tc>
        <w:tc>
          <w:tcPr>
            <w:tcW w:w="510" w:type="pct"/>
          </w:tcPr>
          <w:p w14:paraId="09824B2F" w14:textId="68408C05" w:rsidR="007F4791" w:rsidRPr="00A25F2C" w:rsidRDefault="00995D31" w:rsidP="00F13D2F">
            <w:pPr>
              <w:pStyle w:val="TableBodyText"/>
              <w:jc w:val="right"/>
            </w:pPr>
            <w:r>
              <w:t>N/A</w:t>
            </w:r>
          </w:p>
        </w:tc>
        <w:tc>
          <w:tcPr>
            <w:tcW w:w="510" w:type="pct"/>
          </w:tcPr>
          <w:p w14:paraId="668B026B" w14:textId="6CE45C86" w:rsidR="007F4791" w:rsidRPr="00A25F2C" w:rsidRDefault="00995D31" w:rsidP="00F13D2F">
            <w:pPr>
              <w:pStyle w:val="TableBodyText"/>
              <w:jc w:val="right"/>
            </w:pPr>
            <w:r>
              <w:t>N/A</w:t>
            </w:r>
          </w:p>
        </w:tc>
        <w:tc>
          <w:tcPr>
            <w:tcW w:w="510" w:type="pct"/>
          </w:tcPr>
          <w:p w14:paraId="7DE8B37C" w14:textId="190FFF1D" w:rsidR="007F4791" w:rsidRPr="00A25F2C" w:rsidRDefault="00995D31" w:rsidP="00F13D2F">
            <w:pPr>
              <w:pStyle w:val="TableBodyText"/>
              <w:jc w:val="right"/>
            </w:pPr>
            <w:r>
              <w:t>N/A</w:t>
            </w:r>
          </w:p>
        </w:tc>
        <w:tc>
          <w:tcPr>
            <w:tcW w:w="510" w:type="pct"/>
          </w:tcPr>
          <w:p w14:paraId="633A9C79" w14:textId="34F5C1FB" w:rsidR="007F4791" w:rsidRPr="00A25F2C" w:rsidRDefault="00995D31" w:rsidP="00F13D2F">
            <w:pPr>
              <w:pStyle w:val="TableBodyText"/>
              <w:jc w:val="right"/>
            </w:pPr>
            <w:r>
              <w:t>N/A</w:t>
            </w:r>
          </w:p>
        </w:tc>
        <w:tc>
          <w:tcPr>
            <w:tcW w:w="510" w:type="pct"/>
          </w:tcPr>
          <w:p w14:paraId="5A91B4AF" w14:textId="7A793EA3" w:rsidR="007F4791" w:rsidRPr="00A25F2C" w:rsidRDefault="00995D31" w:rsidP="00F13D2F">
            <w:pPr>
              <w:pStyle w:val="TableBodyText"/>
              <w:jc w:val="right"/>
            </w:pPr>
            <w:r>
              <w:t>N/A</w:t>
            </w:r>
          </w:p>
        </w:tc>
        <w:tc>
          <w:tcPr>
            <w:tcW w:w="510" w:type="pct"/>
          </w:tcPr>
          <w:p w14:paraId="22CD788A" w14:textId="7331892C" w:rsidR="007F4791" w:rsidRPr="00A25F2C" w:rsidRDefault="00995D31" w:rsidP="00F13D2F">
            <w:pPr>
              <w:pStyle w:val="TableBodyText"/>
              <w:jc w:val="right"/>
              <w:rPr>
                <w:b/>
              </w:rPr>
            </w:pPr>
            <w:r>
              <w:rPr>
                <w:b/>
              </w:rPr>
              <w:t>N/A</w:t>
            </w:r>
          </w:p>
        </w:tc>
      </w:tr>
      <w:tr w:rsidR="007F4791" w:rsidRPr="00A25F2C" w14:paraId="1F49DAB6" w14:textId="77777777" w:rsidTr="00671EDB">
        <w:tc>
          <w:tcPr>
            <w:tcW w:w="1429" w:type="pct"/>
          </w:tcPr>
          <w:p w14:paraId="7A86C575" w14:textId="77777777" w:rsidR="007F4791" w:rsidRPr="00A25F2C" w:rsidRDefault="007F4791" w:rsidP="004E1FA1">
            <w:pPr>
              <w:pStyle w:val="TableBodyText"/>
            </w:pPr>
            <w:r w:rsidRPr="00A25F2C">
              <w:rPr>
                <w:b/>
              </w:rPr>
              <w:t>Opening Cash Balance</w:t>
            </w:r>
          </w:p>
        </w:tc>
        <w:tc>
          <w:tcPr>
            <w:tcW w:w="510" w:type="pct"/>
          </w:tcPr>
          <w:p w14:paraId="1F5213B7" w14:textId="77777777" w:rsidR="007F4791" w:rsidRPr="00A25F2C" w:rsidRDefault="007F4791" w:rsidP="00F13D2F">
            <w:pPr>
              <w:pStyle w:val="TableBodyText"/>
              <w:jc w:val="right"/>
            </w:pPr>
            <w:r w:rsidRPr="00A25F2C">
              <w:rPr>
                <w:b/>
              </w:rPr>
              <w:t>6.3</w:t>
            </w:r>
          </w:p>
        </w:tc>
        <w:tc>
          <w:tcPr>
            <w:tcW w:w="510" w:type="pct"/>
          </w:tcPr>
          <w:p w14:paraId="2ACB10D9" w14:textId="77777777" w:rsidR="007F4791" w:rsidRPr="00A25F2C" w:rsidRDefault="007F4791" w:rsidP="00F13D2F">
            <w:pPr>
              <w:pStyle w:val="TableBodyText"/>
              <w:jc w:val="right"/>
            </w:pPr>
            <w:r w:rsidRPr="00A25F2C">
              <w:rPr>
                <w:b/>
              </w:rPr>
              <w:t>0.1</w:t>
            </w:r>
          </w:p>
        </w:tc>
        <w:tc>
          <w:tcPr>
            <w:tcW w:w="510" w:type="pct"/>
          </w:tcPr>
          <w:p w14:paraId="4B52259B" w14:textId="77777777" w:rsidR="007F4791" w:rsidRPr="00A25F2C" w:rsidRDefault="007F4791" w:rsidP="00F13D2F">
            <w:pPr>
              <w:pStyle w:val="TableBodyText"/>
              <w:jc w:val="right"/>
            </w:pPr>
            <w:r w:rsidRPr="00A25F2C">
              <w:rPr>
                <w:b/>
              </w:rPr>
              <w:t>0.1</w:t>
            </w:r>
          </w:p>
        </w:tc>
        <w:tc>
          <w:tcPr>
            <w:tcW w:w="510" w:type="pct"/>
          </w:tcPr>
          <w:p w14:paraId="29797DCE" w14:textId="77777777" w:rsidR="007F4791" w:rsidRPr="00A25F2C" w:rsidRDefault="007F4791" w:rsidP="00F13D2F">
            <w:pPr>
              <w:pStyle w:val="TableBodyText"/>
              <w:jc w:val="right"/>
            </w:pPr>
            <w:r w:rsidRPr="00A25F2C">
              <w:rPr>
                <w:b/>
              </w:rPr>
              <w:t>0.1</w:t>
            </w:r>
          </w:p>
        </w:tc>
        <w:tc>
          <w:tcPr>
            <w:tcW w:w="510" w:type="pct"/>
          </w:tcPr>
          <w:p w14:paraId="34DC2127" w14:textId="77777777" w:rsidR="007F4791" w:rsidRPr="00A25F2C" w:rsidRDefault="007F4791" w:rsidP="00F13D2F">
            <w:pPr>
              <w:pStyle w:val="TableBodyText"/>
              <w:jc w:val="right"/>
            </w:pPr>
            <w:r w:rsidRPr="00A25F2C">
              <w:rPr>
                <w:b/>
              </w:rPr>
              <w:t>0.1</w:t>
            </w:r>
          </w:p>
        </w:tc>
        <w:tc>
          <w:tcPr>
            <w:tcW w:w="510" w:type="pct"/>
          </w:tcPr>
          <w:p w14:paraId="7BF09C6C" w14:textId="77777777" w:rsidR="007F4791" w:rsidRPr="00A25F2C" w:rsidRDefault="007F4791" w:rsidP="00F13D2F">
            <w:pPr>
              <w:pStyle w:val="TableBodyText"/>
              <w:jc w:val="right"/>
            </w:pPr>
            <w:r w:rsidRPr="00A25F2C">
              <w:rPr>
                <w:b/>
              </w:rPr>
              <w:t>0.1</w:t>
            </w:r>
          </w:p>
        </w:tc>
        <w:tc>
          <w:tcPr>
            <w:tcW w:w="510" w:type="pct"/>
          </w:tcPr>
          <w:p w14:paraId="58ADD178" w14:textId="77777777" w:rsidR="007F4791" w:rsidRPr="00A25F2C" w:rsidRDefault="007F4791" w:rsidP="00F13D2F">
            <w:pPr>
              <w:pStyle w:val="TableBodyText"/>
              <w:jc w:val="right"/>
              <w:rPr>
                <w:b/>
              </w:rPr>
            </w:pPr>
            <w:r w:rsidRPr="00A25F2C">
              <w:rPr>
                <w:b/>
              </w:rPr>
              <w:t>0.1</w:t>
            </w:r>
          </w:p>
        </w:tc>
      </w:tr>
      <w:tr w:rsidR="007F4791" w:rsidRPr="00A25F2C" w14:paraId="02DCB711" w14:textId="77777777" w:rsidTr="00671EDB">
        <w:tc>
          <w:tcPr>
            <w:tcW w:w="1429" w:type="pct"/>
          </w:tcPr>
          <w:p w14:paraId="6F584418" w14:textId="77777777" w:rsidR="007F4791" w:rsidRPr="00A25F2C" w:rsidRDefault="007F4791" w:rsidP="004E1FA1">
            <w:pPr>
              <w:pStyle w:val="TableBodyText"/>
            </w:pPr>
            <w:r w:rsidRPr="00A25F2C">
              <w:rPr>
                <w:b/>
              </w:rPr>
              <w:t>Closing Cash Balance</w:t>
            </w:r>
          </w:p>
        </w:tc>
        <w:tc>
          <w:tcPr>
            <w:tcW w:w="510" w:type="pct"/>
          </w:tcPr>
          <w:p w14:paraId="28392D9A" w14:textId="77777777" w:rsidR="007F4791" w:rsidRPr="00A25F2C" w:rsidRDefault="007F4791" w:rsidP="00F13D2F">
            <w:pPr>
              <w:pStyle w:val="TableBodyText"/>
              <w:jc w:val="right"/>
            </w:pPr>
            <w:r w:rsidRPr="00A25F2C">
              <w:rPr>
                <w:b/>
              </w:rPr>
              <w:t>0.1</w:t>
            </w:r>
          </w:p>
        </w:tc>
        <w:tc>
          <w:tcPr>
            <w:tcW w:w="510" w:type="pct"/>
          </w:tcPr>
          <w:p w14:paraId="3497418A" w14:textId="77777777" w:rsidR="007F4791" w:rsidRPr="00A25F2C" w:rsidRDefault="007F4791" w:rsidP="00F13D2F">
            <w:pPr>
              <w:pStyle w:val="TableBodyText"/>
              <w:jc w:val="right"/>
            </w:pPr>
            <w:r w:rsidRPr="00A25F2C">
              <w:rPr>
                <w:b/>
              </w:rPr>
              <w:t>0.1</w:t>
            </w:r>
          </w:p>
        </w:tc>
        <w:tc>
          <w:tcPr>
            <w:tcW w:w="510" w:type="pct"/>
          </w:tcPr>
          <w:p w14:paraId="29BA27BF" w14:textId="77777777" w:rsidR="007F4791" w:rsidRPr="00A25F2C" w:rsidRDefault="007F4791" w:rsidP="00F13D2F">
            <w:pPr>
              <w:pStyle w:val="TableBodyText"/>
              <w:jc w:val="right"/>
            </w:pPr>
            <w:r w:rsidRPr="00A25F2C">
              <w:rPr>
                <w:b/>
              </w:rPr>
              <w:t>0.1</w:t>
            </w:r>
          </w:p>
        </w:tc>
        <w:tc>
          <w:tcPr>
            <w:tcW w:w="510" w:type="pct"/>
          </w:tcPr>
          <w:p w14:paraId="65939158" w14:textId="77777777" w:rsidR="007F4791" w:rsidRPr="00A25F2C" w:rsidRDefault="007F4791" w:rsidP="00F13D2F">
            <w:pPr>
              <w:pStyle w:val="TableBodyText"/>
              <w:jc w:val="right"/>
            </w:pPr>
            <w:r w:rsidRPr="00A25F2C">
              <w:rPr>
                <w:b/>
              </w:rPr>
              <w:t>0.1</w:t>
            </w:r>
          </w:p>
        </w:tc>
        <w:tc>
          <w:tcPr>
            <w:tcW w:w="510" w:type="pct"/>
          </w:tcPr>
          <w:p w14:paraId="693BB755" w14:textId="77777777" w:rsidR="007F4791" w:rsidRPr="00A25F2C" w:rsidRDefault="007F4791" w:rsidP="00F13D2F">
            <w:pPr>
              <w:pStyle w:val="TableBodyText"/>
              <w:jc w:val="right"/>
            </w:pPr>
            <w:r w:rsidRPr="00A25F2C">
              <w:rPr>
                <w:b/>
              </w:rPr>
              <w:t>0.1</w:t>
            </w:r>
          </w:p>
        </w:tc>
        <w:tc>
          <w:tcPr>
            <w:tcW w:w="510" w:type="pct"/>
          </w:tcPr>
          <w:p w14:paraId="32F513F8" w14:textId="77777777" w:rsidR="007F4791" w:rsidRPr="00A25F2C" w:rsidRDefault="007F4791" w:rsidP="00F13D2F">
            <w:pPr>
              <w:pStyle w:val="TableBodyText"/>
              <w:jc w:val="right"/>
            </w:pPr>
            <w:r w:rsidRPr="00A25F2C">
              <w:rPr>
                <w:b/>
              </w:rPr>
              <w:t>0.1</w:t>
            </w:r>
          </w:p>
        </w:tc>
        <w:tc>
          <w:tcPr>
            <w:tcW w:w="510" w:type="pct"/>
          </w:tcPr>
          <w:p w14:paraId="7F0BCDA2" w14:textId="77777777" w:rsidR="007F4791" w:rsidRPr="00A25F2C" w:rsidRDefault="007F4791" w:rsidP="00F13D2F">
            <w:pPr>
              <w:pStyle w:val="TableBodyText"/>
              <w:jc w:val="right"/>
              <w:rPr>
                <w:b/>
              </w:rPr>
            </w:pPr>
            <w:r w:rsidRPr="00A25F2C">
              <w:rPr>
                <w:b/>
              </w:rPr>
              <w:t>0.1</w:t>
            </w:r>
          </w:p>
        </w:tc>
      </w:tr>
    </w:tbl>
    <w:p w14:paraId="32002D30" w14:textId="7994A322" w:rsidR="00143D6B" w:rsidRDefault="00E04EDF" w:rsidP="007F4791">
      <w:pPr>
        <w:pStyle w:val="BodyText"/>
      </w:pPr>
      <w:bookmarkStart w:id="72" w:name="NoteE11"/>
      <w:r>
        <w:t xml:space="preserve">Note: </w:t>
      </w:r>
      <w:r w:rsidR="007F4791" w:rsidRPr="00A25F2C">
        <w:t>Free Cash Flow = Cash Flow from Operating Activities less Payments for Capital Projects All tables subject to rounding</w:t>
      </w:r>
    </w:p>
    <w:bookmarkEnd w:id="72"/>
    <w:p w14:paraId="0BEC905A" w14:textId="6FBDB15B" w:rsidR="007F4791" w:rsidRPr="00A25F2C" w:rsidRDefault="0086694E" w:rsidP="0086694E">
      <w:pPr>
        <w:pStyle w:val="Caption"/>
      </w:pPr>
      <w:r w:rsidRPr="0086694E">
        <w:t>Table E12 – Profit and Loss 2023-24 quarterly phasing</w:t>
      </w:r>
    </w:p>
    <w:tbl>
      <w:tblPr>
        <w:tblStyle w:val="TableProfessional"/>
        <w:tblW w:w="5000" w:type="pct"/>
        <w:tblLook w:val="0620" w:firstRow="1" w:lastRow="0" w:firstColumn="0" w:lastColumn="0" w:noHBand="1" w:noVBand="1"/>
      </w:tblPr>
      <w:tblGrid>
        <w:gridCol w:w="4110"/>
        <w:gridCol w:w="1103"/>
        <w:gridCol w:w="1104"/>
        <w:gridCol w:w="1104"/>
        <w:gridCol w:w="1104"/>
        <w:gridCol w:w="1106"/>
      </w:tblGrid>
      <w:tr w:rsidR="007F4791" w:rsidRPr="00A25F2C" w14:paraId="2CE9930B" w14:textId="77777777" w:rsidTr="00BA3F27">
        <w:trPr>
          <w:cnfStyle w:val="100000000000" w:firstRow="1" w:lastRow="0" w:firstColumn="0" w:lastColumn="0" w:oddVBand="0" w:evenVBand="0" w:oddHBand="0" w:evenHBand="0" w:firstRowFirstColumn="0" w:firstRowLastColumn="0" w:lastRowFirstColumn="0" w:lastRowLastColumn="0"/>
        </w:trPr>
        <w:tc>
          <w:tcPr>
            <w:tcW w:w="2134" w:type="pct"/>
          </w:tcPr>
          <w:p w14:paraId="0D6A8100" w14:textId="5415FFE6" w:rsidR="007F4791" w:rsidRPr="00A25F2C" w:rsidRDefault="007F4791" w:rsidP="004E1FA1">
            <w:pPr>
              <w:pStyle w:val="TableBodyText"/>
            </w:pPr>
            <w:r w:rsidRPr="00A25F2C">
              <w:t xml:space="preserve">Nominal </w:t>
            </w:r>
            <w:r w:rsidR="00E65500">
              <w:t>$ million</w:t>
            </w:r>
          </w:p>
        </w:tc>
        <w:tc>
          <w:tcPr>
            <w:tcW w:w="573" w:type="pct"/>
          </w:tcPr>
          <w:p w14:paraId="49E3883C" w14:textId="77777777" w:rsidR="007F4791" w:rsidRPr="00A25F2C" w:rsidRDefault="007F4791" w:rsidP="00F13D2F">
            <w:pPr>
              <w:pStyle w:val="TableBodyText"/>
              <w:jc w:val="right"/>
            </w:pPr>
            <w:r w:rsidRPr="00A25F2C">
              <w:t>2023-24</w:t>
            </w:r>
          </w:p>
          <w:p w14:paraId="38EE3838" w14:textId="77777777" w:rsidR="007F4791" w:rsidRPr="00A25F2C" w:rsidRDefault="007F4791" w:rsidP="00F13D2F">
            <w:pPr>
              <w:pStyle w:val="TableBodyText"/>
              <w:jc w:val="right"/>
            </w:pPr>
            <w:r w:rsidRPr="00A25F2C">
              <w:t>PLAN</w:t>
            </w:r>
          </w:p>
        </w:tc>
        <w:tc>
          <w:tcPr>
            <w:tcW w:w="573" w:type="pct"/>
          </w:tcPr>
          <w:p w14:paraId="25EF8EB1" w14:textId="77777777" w:rsidR="007F4791" w:rsidRPr="00A25F2C" w:rsidRDefault="007F4791" w:rsidP="00F13D2F">
            <w:pPr>
              <w:pStyle w:val="TableBodyText"/>
              <w:jc w:val="right"/>
            </w:pPr>
            <w:r w:rsidRPr="00A25F2C">
              <w:t>Q1 PLAN</w:t>
            </w:r>
          </w:p>
        </w:tc>
        <w:tc>
          <w:tcPr>
            <w:tcW w:w="573" w:type="pct"/>
          </w:tcPr>
          <w:p w14:paraId="7241E7AD" w14:textId="77777777" w:rsidR="007F4791" w:rsidRPr="00A25F2C" w:rsidRDefault="007F4791" w:rsidP="00F13D2F">
            <w:pPr>
              <w:pStyle w:val="TableBodyText"/>
              <w:jc w:val="right"/>
            </w:pPr>
            <w:r w:rsidRPr="00A25F2C">
              <w:t>Q2 PLAN</w:t>
            </w:r>
          </w:p>
        </w:tc>
        <w:tc>
          <w:tcPr>
            <w:tcW w:w="573" w:type="pct"/>
          </w:tcPr>
          <w:p w14:paraId="6561CDB5" w14:textId="77777777" w:rsidR="007F4791" w:rsidRPr="00A25F2C" w:rsidRDefault="007F4791" w:rsidP="00F13D2F">
            <w:pPr>
              <w:pStyle w:val="TableBodyText"/>
              <w:jc w:val="right"/>
            </w:pPr>
            <w:r w:rsidRPr="00A25F2C">
              <w:t>Q3 PLAN</w:t>
            </w:r>
          </w:p>
        </w:tc>
        <w:tc>
          <w:tcPr>
            <w:tcW w:w="574" w:type="pct"/>
          </w:tcPr>
          <w:p w14:paraId="741D8E50" w14:textId="77777777" w:rsidR="007F4791" w:rsidRPr="00A25F2C" w:rsidRDefault="007F4791" w:rsidP="00F13D2F">
            <w:pPr>
              <w:pStyle w:val="TableBodyText"/>
              <w:jc w:val="right"/>
            </w:pPr>
            <w:r w:rsidRPr="00A25F2C">
              <w:t>Q4 PLAN</w:t>
            </w:r>
          </w:p>
        </w:tc>
      </w:tr>
      <w:tr w:rsidR="007F4791" w:rsidRPr="00A25F2C" w14:paraId="45A8877E" w14:textId="77777777" w:rsidTr="00BA3F27">
        <w:tc>
          <w:tcPr>
            <w:tcW w:w="2134" w:type="pct"/>
          </w:tcPr>
          <w:p w14:paraId="17BAC9C4" w14:textId="77777777" w:rsidR="007F4791" w:rsidRPr="00A25F2C" w:rsidRDefault="007F4791" w:rsidP="004E1FA1">
            <w:pPr>
              <w:pStyle w:val="TableBodyText"/>
            </w:pPr>
            <w:r w:rsidRPr="00A25F2C">
              <w:t>Water Sales</w:t>
            </w:r>
          </w:p>
        </w:tc>
        <w:tc>
          <w:tcPr>
            <w:tcW w:w="573" w:type="pct"/>
          </w:tcPr>
          <w:p w14:paraId="73DB2397" w14:textId="77777777" w:rsidR="007F4791" w:rsidRPr="00A25F2C" w:rsidRDefault="007F4791" w:rsidP="00F13D2F">
            <w:pPr>
              <w:pStyle w:val="TableBodyText"/>
              <w:jc w:val="right"/>
            </w:pPr>
            <w:r w:rsidRPr="00A25F2C">
              <w:t>945.0</w:t>
            </w:r>
          </w:p>
        </w:tc>
        <w:tc>
          <w:tcPr>
            <w:tcW w:w="573" w:type="pct"/>
          </w:tcPr>
          <w:p w14:paraId="38F14B52" w14:textId="77777777" w:rsidR="007F4791" w:rsidRPr="00A25F2C" w:rsidRDefault="007F4791" w:rsidP="00F13D2F">
            <w:pPr>
              <w:pStyle w:val="TableBodyText"/>
              <w:jc w:val="right"/>
            </w:pPr>
            <w:r w:rsidRPr="00A25F2C">
              <w:t>233.4</w:t>
            </w:r>
          </w:p>
        </w:tc>
        <w:tc>
          <w:tcPr>
            <w:tcW w:w="573" w:type="pct"/>
          </w:tcPr>
          <w:p w14:paraId="1BE35F2F" w14:textId="77777777" w:rsidR="007F4791" w:rsidRPr="00A25F2C" w:rsidRDefault="007F4791" w:rsidP="00F13D2F">
            <w:pPr>
              <w:pStyle w:val="TableBodyText"/>
              <w:jc w:val="right"/>
            </w:pPr>
            <w:r w:rsidRPr="00A25F2C">
              <w:t>235.8</w:t>
            </w:r>
          </w:p>
        </w:tc>
        <w:tc>
          <w:tcPr>
            <w:tcW w:w="573" w:type="pct"/>
          </w:tcPr>
          <w:p w14:paraId="7CC7521B" w14:textId="77777777" w:rsidR="007F4791" w:rsidRPr="00A25F2C" w:rsidRDefault="007F4791" w:rsidP="00F13D2F">
            <w:pPr>
              <w:pStyle w:val="TableBodyText"/>
              <w:jc w:val="right"/>
            </w:pPr>
            <w:r w:rsidRPr="00A25F2C">
              <w:t>240.1</w:t>
            </w:r>
          </w:p>
        </w:tc>
        <w:tc>
          <w:tcPr>
            <w:tcW w:w="574" w:type="pct"/>
          </w:tcPr>
          <w:p w14:paraId="05A5D351" w14:textId="77777777" w:rsidR="007F4791" w:rsidRPr="00A25F2C" w:rsidRDefault="007F4791" w:rsidP="00F13D2F">
            <w:pPr>
              <w:pStyle w:val="TableBodyText"/>
              <w:jc w:val="right"/>
            </w:pPr>
            <w:r w:rsidRPr="00A25F2C">
              <w:t>235.7</w:t>
            </w:r>
          </w:p>
        </w:tc>
      </w:tr>
      <w:tr w:rsidR="007F4791" w:rsidRPr="00A25F2C" w14:paraId="2FD0E5FB" w14:textId="77777777" w:rsidTr="00BA3F27">
        <w:tc>
          <w:tcPr>
            <w:tcW w:w="2134" w:type="pct"/>
          </w:tcPr>
          <w:p w14:paraId="6D62C809" w14:textId="77777777" w:rsidR="007F4791" w:rsidRPr="00A25F2C" w:rsidRDefault="007F4791" w:rsidP="004E1FA1">
            <w:pPr>
              <w:pStyle w:val="TableBodyText"/>
            </w:pPr>
            <w:r w:rsidRPr="00A25F2C">
              <w:t>Sewage Treatment</w:t>
            </w:r>
          </w:p>
        </w:tc>
        <w:tc>
          <w:tcPr>
            <w:tcW w:w="573" w:type="pct"/>
          </w:tcPr>
          <w:p w14:paraId="01A0E441" w14:textId="77777777" w:rsidR="007F4791" w:rsidRPr="00A25F2C" w:rsidRDefault="007F4791" w:rsidP="00F13D2F">
            <w:pPr>
              <w:pStyle w:val="TableBodyText"/>
              <w:jc w:val="right"/>
            </w:pPr>
            <w:r w:rsidRPr="00A25F2C">
              <w:t>487.3</w:t>
            </w:r>
          </w:p>
        </w:tc>
        <w:tc>
          <w:tcPr>
            <w:tcW w:w="573" w:type="pct"/>
          </w:tcPr>
          <w:p w14:paraId="14614325" w14:textId="77777777" w:rsidR="007F4791" w:rsidRPr="00A25F2C" w:rsidRDefault="007F4791" w:rsidP="00F13D2F">
            <w:pPr>
              <w:pStyle w:val="TableBodyText"/>
              <w:jc w:val="right"/>
            </w:pPr>
            <w:r w:rsidRPr="00A25F2C">
              <w:t>122.2</w:t>
            </w:r>
          </w:p>
        </w:tc>
        <w:tc>
          <w:tcPr>
            <w:tcW w:w="573" w:type="pct"/>
          </w:tcPr>
          <w:p w14:paraId="72599863" w14:textId="77777777" w:rsidR="007F4791" w:rsidRPr="00A25F2C" w:rsidRDefault="007F4791" w:rsidP="00F13D2F">
            <w:pPr>
              <w:pStyle w:val="TableBodyText"/>
              <w:jc w:val="right"/>
            </w:pPr>
            <w:r w:rsidRPr="00A25F2C">
              <w:t>122.2</w:t>
            </w:r>
          </w:p>
        </w:tc>
        <w:tc>
          <w:tcPr>
            <w:tcW w:w="573" w:type="pct"/>
          </w:tcPr>
          <w:p w14:paraId="72381146" w14:textId="77777777" w:rsidR="007F4791" w:rsidRPr="00A25F2C" w:rsidRDefault="007F4791" w:rsidP="00F13D2F">
            <w:pPr>
              <w:pStyle w:val="TableBodyText"/>
              <w:jc w:val="right"/>
            </w:pPr>
            <w:r w:rsidRPr="00A25F2C">
              <w:t>121.4</w:t>
            </w:r>
          </w:p>
        </w:tc>
        <w:tc>
          <w:tcPr>
            <w:tcW w:w="574" w:type="pct"/>
          </w:tcPr>
          <w:p w14:paraId="6BFBA409" w14:textId="77777777" w:rsidR="007F4791" w:rsidRPr="00A25F2C" w:rsidRDefault="007F4791" w:rsidP="00F13D2F">
            <w:pPr>
              <w:pStyle w:val="TableBodyText"/>
              <w:jc w:val="right"/>
            </w:pPr>
            <w:r w:rsidRPr="00A25F2C">
              <w:t>121.5</w:t>
            </w:r>
          </w:p>
        </w:tc>
      </w:tr>
      <w:tr w:rsidR="007F4791" w:rsidRPr="00A25F2C" w14:paraId="1312E1EB" w14:textId="77777777" w:rsidTr="00BA3F27">
        <w:tc>
          <w:tcPr>
            <w:tcW w:w="2134" w:type="pct"/>
          </w:tcPr>
          <w:p w14:paraId="7C1399A2" w14:textId="77777777" w:rsidR="007F4791" w:rsidRPr="00A25F2C" w:rsidRDefault="007F4791" w:rsidP="004E1FA1">
            <w:pPr>
              <w:pStyle w:val="TableBodyText"/>
            </w:pPr>
            <w:r w:rsidRPr="00A25F2C">
              <w:t>Waterways Charges</w:t>
            </w:r>
          </w:p>
        </w:tc>
        <w:tc>
          <w:tcPr>
            <w:tcW w:w="573" w:type="pct"/>
          </w:tcPr>
          <w:p w14:paraId="16F9D8AF" w14:textId="77777777" w:rsidR="007F4791" w:rsidRPr="00A25F2C" w:rsidRDefault="007F4791" w:rsidP="00F13D2F">
            <w:pPr>
              <w:pStyle w:val="TableBodyText"/>
              <w:jc w:val="right"/>
            </w:pPr>
            <w:r w:rsidRPr="00A25F2C">
              <w:t>323.0</w:t>
            </w:r>
          </w:p>
        </w:tc>
        <w:tc>
          <w:tcPr>
            <w:tcW w:w="573" w:type="pct"/>
          </w:tcPr>
          <w:p w14:paraId="09FA7CBB" w14:textId="77777777" w:rsidR="007F4791" w:rsidRPr="00A25F2C" w:rsidRDefault="007F4791" w:rsidP="00F13D2F">
            <w:pPr>
              <w:pStyle w:val="TableBodyText"/>
              <w:jc w:val="right"/>
            </w:pPr>
            <w:r w:rsidRPr="00A25F2C">
              <w:t>81.0</w:t>
            </w:r>
          </w:p>
        </w:tc>
        <w:tc>
          <w:tcPr>
            <w:tcW w:w="573" w:type="pct"/>
          </w:tcPr>
          <w:p w14:paraId="698FCC86" w14:textId="77777777" w:rsidR="007F4791" w:rsidRPr="00A25F2C" w:rsidRDefault="007F4791" w:rsidP="00F13D2F">
            <w:pPr>
              <w:pStyle w:val="TableBodyText"/>
              <w:jc w:val="right"/>
            </w:pPr>
            <w:r w:rsidRPr="00A25F2C">
              <w:t>77.7</w:t>
            </w:r>
          </w:p>
        </w:tc>
        <w:tc>
          <w:tcPr>
            <w:tcW w:w="573" w:type="pct"/>
          </w:tcPr>
          <w:p w14:paraId="4CA63288" w14:textId="77777777" w:rsidR="007F4791" w:rsidRPr="00A25F2C" w:rsidRDefault="007F4791" w:rsidP="00F13D2F">
            <w:pPr>
              <w:pStyle w:val="TableBodyText"/>
              <w:jc w:val="right"/>
            </w:pPr>
            <w:r w:rsidRPr="00A25F2C">
              <w:t>82.7</w:t>
            </w:r>
          </w:p>
        </w:tc>
        <w:tc>
          <w:tcPr>
            <w:tcW w:w="574" w:type="pct"/>
          </w:tcPr>
          <w:p w14:paraId="1EED5CEE" w14:textId="77777777" w:rsidR="007F4791" w:rsidRPr="00A25F2C" w:rsidRDefault="007F4791" w:rsidP="00F13D2F">
            <w:pPr>
              <w:pStyle w:val="TableBodyText"/>
              <w:jc w:val="right"/>
            </w:pPr>
            <w:r w:rsidRPr="00A25F2C">
              <w:t>81.6</w:t>
            </w:r>
          </w:p>
        </w:tc>
      </w:tr>
      <w:tr w:rsidR="007F4791" w:rsidRPr="00A25F2C" w14:paraId="7263F57C" w14:textId="77777777" w:rsidTr="00BA3F27">
        <w:tc>
          <w:tcPr>
            <w:tcW w:w="2134" w:type="pct"/>
          </w:tcPr>
          <w:p w14:paraId="5671A479" w14:textId="77777777" w:rsidR="007F4791" w:rsidRPr="00A25F2C" w:rsidRDefault="007F4791" w:rsidP="004E1FA1">
            <w:pPr>
              <w:pStyle w:val="TableBodyText"/>
            </w:pPr>
            <w:r w:rsidRPr="00A25F2C">
              <w:t>Developer Contributions/Contributed Assets</w:t>
            </w:r>
          </w:p>
        </w:tc>
        <w:tc>
          <w:tcPr>
            <w:tcW w:w="573" w:type="pct"/>
          </w:tcPr>
          <w:p w14:paraId="60BFA752" w14:textId="77777777" w:rsidR="007F4791" w:rsidRPr="00A25F2C" w:rsidRDefault="007F4791" w:rsidP="00F13D2F">
            <w:pPr>
              <w:pStyle w:val="TableBodyText"/>
              <w:jc w:val="right"/>
            </w:pPr>
            <w:r w:rsidRPr="00A25F2C">
              <w:t>220.0</w:t>
            </w:r>
          </w:p>
        </w:tc>
        <w:tc>
          <w:tcPr>
            <w:tcW w:w="573" w:type="pct"/>
          </w:tcPr>
          <w:p w14:paraId="3382EE2D" w14:textId="77777777" w:rsidR="007F4791" w:rsidRPr="00A25F2C" w:rsidRDefault="007F4791" w:rsidP="00F13D2F">
            <w:pPr>
              <w:pStyle w:val="TableBodyText"/>
              <w:jc w:val="right"/>
            </w:pPr>
            <w:r w:rsidRPr="00A25F2C">
              <w:t>55.0</w:t>
            </w:r>
          </w:p>
        </w:tc>
        <w:tc>
          <w:tcPr>
            <w:tcW w:w="573" w:type="pct"/>
          </w:tcPr>
          <w:p w14:paraId="40F7F1B7" w14:textId="77777777" w:rsidR="007F4791" w:rsidRPr="00A25F2C" w:rsidRDefault="007F4791" w:rsidP="00F13D2F">
            <w:pPr>
              <w:pStyle w:val="TableBodyText"/>
              <w:jc w:val="right"/>
            </w:pPr>
            <w:r w:rsidRPr="00A25F2C">
              <w:t>55.0</w:t>
            </w:r>
          </w:p>
        </w:tc>
        <w:tc>
          <w:tcPr>
            <w:tcW w:w="573" w:type="pct"/>
          </w:tcPr>
          <w:p w14:paraId="0300CA42" w14:textId="77777777" w:rsidR="007F4791" w:rsidRPr="00A25F2C" w:rsidRDefault="007F4791" w:rsidP="00F13D2F">
            <w:pPr>
              <w:pStyle w:val="TableBodyText"/>
              <w:jc w:val="right"/>
            </w:pPr>
            <w:r w:rsidRPr="00A25F2C">
              <w:t>55.0</w:t>
            </w:r>
          </w:p>
        </w:tc>
        <w:tc>
          <w:tcPr>
            <w:tcW w:w="574" w:type="pct"/>
          </w:tcPr>
          <w:p w14:paraId="505BF21C" w14:textId="77777777" w:rsidR="007F4791" w:rsidRPr="00A25F2C" w:rsidRDefault="007F4791" w:rsidP="00F13D2F">
            <w:pPr>
              <w:pStyle w:val="TableBodyText"/>
              <w:jc w:val="right"/>
            </w:pPr>
            <w:r w:rsidRPr="00A25F2C">
              <w:t>55.0</w:t>
            </w:r>
          </w:p>
        </w:tc>
      </w:tr>
      <w:tr w:rsidR="007F4791" w:rsidRPr="00A25F2C" w14:paraId="35705ACB" w14:textId="77777777" w:rsidTr="00BA3F27">
        <w:tc>
          <w:tcPr>
            <w:tcW w:w="2134" w:type="pct"/>
          </w:tcPr>
          <w:p w14:paraId="7FCD9AAB" w14:textId="77777777" w:rsidR="007F4791" w:rsidRPr="00A25F2C" w:rsidRDefault="007F4791" w:rsidP="004E1FA1">
            <w:pPr>
              <w:pStyle w:val="TableBodyText"/>
            </w:pPr>
            <w:r w:rsidRPr="00A25F2C">
              <w:t>Net Asset Sales</w:t>
            </w:r>
          </w:p>
        </w:tc>
        <w:tc>
          <w:tcPr>
            <w:tcW w:w="573" w:type="pct"/>
          </w:tcPr>
          <w:p w14:paraId="0DB37F72" w14:textId="77777777" w:rsidR="007F4791" w:rsidRPr="00A25F2C" w:rsidRDefault="007F4791" w:rsidP="00F13D2F">
            <w:pPr>
              <w:pStyle w:val="TableBodyText"/>
              <w:jc w:val="right"/>
            </w:pPr>
            <w:r w:rsidRPr="00A25F2C">
              <w:t>21.4</w:t>
            </w:r>
          </w:p>
        </w:tc>
        <w:tc>
          <w:tcPr>
            <w:tcW w:w="573" w:type="pct"/>
          </w:tcPr>
          <w:p w14:paraId="3A2CEC7D" w14:textId="77777777" w:rsidR="007F4791" w:rsidRPr="00A25F2C" w:rsidRDefault="007F4791" w:rsidP="00F13D2F">
            <w:pPr>
              <w:pStyle w:val="TableBodyText"/>
              <w:jc w:val="right"/>
            </w:pPr>
            <w:r w:rsidRPr="00A25F2C">
              <w:t>5.4</w:t>
            </w:r>
          </w:p>
        </w:tc>
        <w:tc>
          <w:tcPr>
            <w:tcW w:w="573" w:type="pct"/>
          </w:tcPr>
          <w:p w14:paraId="68795A77" w14:textId="77777777" w:rsidR="007F4791" w:rsidRPr="00A25F2C" w:rsidRDefault="007F4791" w:rsidP="00F13D2F">
            <w:pPr>
              <w:pStyle w:val="TableBodyText"/>
              <w:jc w:val="right"/>
            </w:pPr>
            <w:r w:rsidRPr="00A25F2C">
              <w:t>5.4</w:t>
            </w:r>
          </w:p>
        </w:tc>
        <w:tc>
          <w:tcPr>
            <w:tcW w:w="573" w:type="pct"/>
          </w:tcPr>
          <w:p w14:paraId="12906605" w14:textId="77777777" w:rsidR="007F4791" w:rsidRPr="00A25F2C" w:rsidRDefault="007F4791" w:rsidP="00F13D2F">
            <w:pPr>
              <w:pStyle w:val="TableBodyText"/>
              <w:jc w:val="right"/>
            </w:pPr>
            <w:r w:rsidRPr="00A25F2C">
              <w:t>5.3</w:t>
            </w:r>
          </w:p>
        </w:tc>
        <w:tc>
          <w:tcPr>
            <w:tcW w:w="574" w:type="pct"/>
          </w:tcPr>
          <w:p w14:paraId="48A678AD" w14:textId="77777777" w:rsidR="007F4791" w:rsidRPr="00A25F2C" w:rsidRDefault="007F4791" w:rsidP="00F13D2F">
            <w:pPr>
              <w:pStyle w:val="TableBodyText"/>
              <w:jc w:val="right"/>
            </w:pPr>
            <w:r w:rsidRPr="00A25F2C">
              <w:t>5.3</w:t>
            </w:r>
          </w:p>
        </w:tc>
      </w:tr>
      <w:tr w:rsidR="007F4791" w:rsidRPr="00A25F2C" w14:paraId="323121D8" w14:textId="77777777" w:rsidTr="00BA3F27">
        <w:tc>
          <w:tcPr>
            <w:tcW w:w="2134" w:type="pct"/>
          </w:tcPr>
          <w:p w14:paraId="3257DE56" w14:textId="77777777" w:rsidR="007F4791" w:rsidRPr="00A25F2C" w:rsidRDefault="007F4791" w:rsidP="004E1FA1">
            <w:pPr>
              <w:pStyle w:val="TableBodyText"/>
            </w:pPr>
            <w:r w:rsidRPr="00A25F2C">
              <w:t>Other Revenue</w:t>
            </w:r>
          </w:p>
        </w:tc>
        <w:tc>
          <w:tcPr>
            <w:tcW w:w="573" w:type="pct"/>
          </w:tcPr>
          <w:p w14:paraId="6FF952BF" w14:textId="77777777" w:rsidR="007F4791" w:rsidRPr="00A25F2C" w:rsidRDefault="007F4791" w:rsidP="00F13D2F">
            <w:pPr>
              <w:pStyle w:val="TableBodyText"/>
              <w:jc w:val="right"/>
            </w:pPr>
            <w:r w:rsidRPr="00A25F2C">
              <w:t>10.6</w:t>
            </w:r>
          </w:p>
        </w:tc>
        <w:tc>
          <w:tcPr>
            <w:tcW w:w="573" w:type="pct"/>
          </w:tcPr>
          <w:p w14:paraId="4AE84A7E" w14:textId="77777777" w:rsidR="007F4791" w:rsidRPr="00A25F2C" w:rsidRDefault="007F4791" w:rsidP="00F13D2F">
            <w:pPr>
              <w:pStyle w:val="TableBodyText"/>
              <w:jc w:val="right"/>
            </w:pPr>
            <w:r w:rsidRPr="00A25F2C">
              <w:t>2.7</w:t>
            </w:r>
          </w:p>
        </w:tc>
        <w:tc>
          <w:tcPr>
            <w:tcW w:w="573" w:type="pct"/>
          </w:tcPr>
          <w:p w14:paraId="4C7EAD32" w14:textId="77777777" w:rsidR="007F4791" w:rsidRPr="00A25F2C" w:rsidRDefault="007F4791" w:rsidP="00F13D2F">
            <w:pPr>
              <w:pStyle w:val="TableBodyText"/>
              <w:jc w:val="right"/>
            </w:pPr>
            <w:r w:rsidRPr="00A25F2C">
              <w:t>2.7</w:t>
            </w:r>
          </w:p>
        </w:tc>
        <w:tc>
          <w:tcPr>
            <w:tcW w:w="573" w:type="pct"/>
          </w:tcPr>
          <w:p w14:paraId="32C746CF" w14:textId="77777777" w:rsidR="007F4791" w:rsidRPr="00A25F2C" w:rsidRDefault="007F4791" w:rsidP="00F13D2F">
            <w:pPr>
              <w:pStyle w:val="TableBodyText"/>
              <w:jc w:val="right"/>
            </w:pPr>
            <w:r w:rsidRPr="00A25F2C">
              <w:t>2.6</w:t>
            </w:r>
          </w:p>
        </w:tc>
        <w:tc>
          <w:tcPr>
            <w:tcW w:w="574" w:type="pct"/>
          </w:tcPr>
          <w:p w14:paraId="21F43F67" w14:textId="77777777" w:rsidR="007F4791" w:rsidRPr="00A25F2C" w:rsidRDefault="007F4791" w:rsidP="00F13D2F">
            <w:pPr>
              <w:pStyle w:val="TableBodyText"/>
              <w:jc w:val="right"/>
            </w:pPr>
            <w:r w:rsidRPr="00A25F2C">
              <w:t>2.6</w:t>
            </w:r>
          </w:p>
        </w:tc>
      </w:tr>
      <w:tr w:rsidR="007F4791" w:rsidRPr="00A25F2C" w14:paraId="196A98CA" w14:textId="77777777" w:rsidTr="00BA3F27">
        <w:tc>
          <w:tcPr>
            <w:tcW w:w="2134" w:type="pct"/>
          </w:tcPr>
          <w:p w14:paraId="21EC23A0" w14:textId="77777777" w:rsidR="007F4791" w:rsidRPr="00A25F2C" w:rsidRDefault="007F4791" w:rsidP="004E1FA1">
            <w:pPr>
              <w:pStyle w:val="TableBodyText"/>
            </w:pPr>
            <w:r w:rsidRPr="00A25F2C">
              <w:rPr>
                <w:b/>
              </w:rPr>
              <w:t>Total Operating Revenue</w:t>
            </w:r>
          </w:p>
        </w:tc>
        <w:tc>
          <w:tcPr>
            <w:tcW w:w="573" w:type="pct"/>
          </w:tcPr>
          <w:p w14:paraId="7B1F87E4" w14:textId="77777777" w:rsidR="007F4791" w:rsidRPr="00A25F2C" w:rsidRDefault="007F4791" w:rsidP="00F13D2F">
            <w:pPr>
              <w:pStyle w:val="TableBodyText"/>
              <w:jc w:val="right"/>
            </w:pPr>
            <w:r w:rsidRPr="00A25F2C">
              <w:rPr>
                <w:b/>
              </w:rPr>
              <w:t>2,007.3</w:t>
            </w:r>
          </w:p>
        </w:tc>
        <w:tc>
          <w:tcPr>
            <w:tcW w:w="573" w:type="pct"/>
          </w:tcPr>
          <w:p w14:paraId="03AD1CB5" w14:textId="77777777" w:rsidR="007F4791" w:rsidRPr="00A25F2C" w:rsidRDefault="007F4791" w:rsidP="00F13D2F">
            <w:pPr>
              <w:pStyle w:val="TableBodyText"/>
              <w:jc w:val="right"/>
            </w:pPr>
            <w:r w:rsidRPr="00A25F2C">
              <w:rPr>
                <w:b/>
              </w:rPr>
              <w:t>499.7</w:t>
            </w:r>
          </w:p>
        </w:tc>
        <w:tc>
          <w:tcPr>
            <w:tcW w:w="573" w:type="pct"/>
          </w:tcPr>
          <w:p w14:paraId="23330E5E" w14:textId="77777777" w:rsidR="007F4791" w:rsidRPr="00A25F2C" w:rsidRDefault="007F4791" w:rsidP="00F13D2F">
            <w:pPr>
              <w:pStyle w:val="TableBodyText"/>
              <w:jc w:val="right"/>
            </w:pPr>
            <w:r w:rsidRPr="00A25F2C">
              <w:rPr>
                <w:b/>
              </w:rPr>
              <w:t>498.8</w:t>
            </w:r>
          </w:p>
        </w:tc>
        <w:tc>
          <w:tcPr>
            <w:tcW w:w="573" w:type="pct"/>
          </w:tcPr>
          <w:p w14:paraId="78BAF1FA" w14:textId="77777777" w:rsidR="007F4791" w:rsidRPr="00A25F2C" w:rsidRDefault="007F4791" w:rsidP="00F13D2F">
            <w:pPr>
              <w:pStyle w:val="TableBodyText"/>
              <w:jc w:val="right"/>
            </w:pPr>
            <w:r w:rsidRPr="00A25F2C">
              <w:rPr>
                <w:b/>
              </w:rPr>
              <w:t>507.1</w:t>
            </w:r>
          </w:p>
        </w:tc>
        <w:tc>
          <w:tcPr>
            <w:tcW w:w="574" w:type="pct"/>
          </w:tcPr>
          <w:p w14:paraId="36E20F1D" w14:textId="77777777" w:rsidR="007F4791" w:rsidRPr="00A25F2C" w:rsidRDefault="007F4791" w:rsidP="00F13D2F">
            <w:pPr>
              <w:pStyle w:val="TableBodyText"/>
              <w:jc w:val="right"/>
              <w:rPr>
                <w:b/>
              </w:rPr>
            </w:pPr>
            <w:r w:rsidRPr="00A25F2C">
              <w:rPr>
                <w:b/>
              </w:rPr>
              <w:t>501.7</w:t>
            </w:r>
          </w:p>
        </w:tc>
      </w:tr>
      <w:tr w:rsidR="007F4791" w:rsidRPr="00A25F2C" w14:paraId="266EE347" w14:textId="77777777" w:rsidTr="00BA3F27">
        <w:tc>
          <w:tcPr>
            <w:tcW w:w="2134" w:type="pct"/>
          </w:tcPr>
          <w:p w14:paraId="29743B46" w14:textId="77777777" w:rsidR="007F4791" w:rsidRPr="00A25F2C" w:rsidRDefault="007F4791" w:rsidP="004E1FA1">
            <w:pPr>
              <w:pStyle w:val="TableBodyText"/>
            </w:pPr>
            <w:r w:rsidRPr="00A25F2C">
              <w:t>Labour</w:t>
            </w:r>
          </w:p>
        </w:tc>
        <w:tc>
          <w:tcPr>
            <w:tcW w:w="573" w:type="pct"/>
          </w:tcPr>
          <w:p w14:paraId="6B12C79D" w14:textId="77777777" w:rsidR="007F4791" w:rsidRPr="00A25F2C" w:rsidRDefault="007F4791" w:rsidP="00F13D2F">
            <w:pPr>
              <w:pStyle w:val="TableBodyText"/>
              <w:jc w:val="right"/>
            </w:pPr>
            <w:r w:rsidRPr="00A25F2C">
              <w:t>178.4</w:t>
            </w:r>
          </w:p>
        </w:tc>
        <w:tc>
          <w:tcPr>
            <w:tcW w:w="573" w:type="pct"/>
          </w:tcPr>
          <w:p w14:paraId="4A80D469" w14:textId="77777777" w:rsidR="007F4791" w:rsidRPr="00A25F2C" w:rsidRDefault="007F4791" w:rsidP="00F13D2F">
            <w:pPr>
              <w:pStyle w:val="TableBodyText"/>
              <w:jc w:val="right"/>
            </w:pPr>
            <w:r w:rsidRPr="00A25F2C">
              <w:t>49.9</w:t>
            </w:r>
          </w:p>
        </w:tc>
        <w:tc>
          <w:tcPr>
            <w:tcW w:w="573" w:type="pct"/>
          </w:tcPr>
          <w:p w14:paraId="4B619C15" w14:textId="77777777" w:rsidR="007F4791" w:rsidRPr="00A25F2C" w:rsidRDefault="007F4791" w:rsidP="00F13D2F">
            <w:pPr>
              <w:pStyle w:val="TableBodyText"/>
              <w:jc w:val="right"/>
            </w:pPr>
            <w:r w:rsidRPr="00A25F2C">
              <w:t>40.8</w:t>
            </w:r>
          </w:p>
        </w:tc>
        <w:tc>
          <w:tcPr>
            <w:tcW w:w="573" w:type="pct"/>
          </w:tcPr>
          <w:p w14:paraId="7AADA698" w14:textId="77777777" w:rsidR="007F4791" w:rsidRPr="00A25F2C" w:rsidRDefault="007F4791" w:rsidP="00F13D2F">
            <w:pPr>
              <w:pStyle w:val="TableBodyText"/>
              <w:jc w:val="right"/>
            </w:pPr>
            <w:r w:rsidRPr="00A25F2C">
              <w:t>46.7</w:t>
            </w:r>
          </w:p>
        </w:tc>
        <w:tc>
          <w:tcPr>
            <w:tcW w:w="574" w:type="pct"/>
          </w:tcPr>
          <w:p w14:paraId="72DD14AB" w14:textId="77777777" w:rsidR="007F4791" w:rsidRPr="00A25F2C" w:rsidRDefault="007F4791" w:rsidP="00F13D2F">
            <w:pPr>
              <w:pStyle w:val="TableBodyText"/>
              <w:jc w:val="right"/>
            </w:pPr>
            <w:r w:rsidRPr="00A25F2C">
              <w:t>41.0</w:t>
            </w:r>
          </w:p>
        </w:tc>
      </w:tr>
      <w:tr w:rsidR="007F4791" w:rsidRPr="00A25F2C" w14:paraId="0E37D073" w14:textId="77777777" w:rsidTr="00BA3F27">
        <w:tc>
          <w:tcPr>
            <w:tcW w:w="2134" w:type="pct"/>
          </w:tcPr>
          <w:p w14:paraId="0711D7B7" w14:textId="77777777" w:rsidR="007F4791" w:rsidRPr="00A25F2C" w:rsidRDefault="007F4791" w:rsidP="004E1FA1">
            <w:pPr>
              <w:pStyle w:val="TableBodyText"/>
            </w:pPr>
            <w:r w:rsidRPr="00A25F2C">
              <w:t>External Services</w:t>
            </w:r>
          </w:p>
        </w:tc>
        <w:tc>
          <w:tcPr>
            <w:tcW w:w="573" w:type="pct"/>
          </w:tcPr>
          <w:p w14:paraId="528D2E71" w14:textId="77777777" w:rsidR="007F4791" w:rsidRPr="00A25F2C" w:rsidRDefault="007F4791" w:rsidP="00F13D2F">
            <w:pPr>
              <w:pStyle w:val="TableBodyText"/>
              <w:jc w:val="right"/>
            </w:pPr>
            <w:r w:rsidRPr="00A25F2C">
              <w:t>93.2</w:t>
            </w:r>
          </w:p>
        </w:tc>
        <w:tc>
          <w:tcPr>
            <w:tcW w:w="573" w:type="pct"/>
          </w:tcPr>
          <w:p w14:paraId="0D3B9047" w14:textId="77777777" w:rsidR="007F4791" w:rsidRPr="00A25F2C" w:rsidRDefault="007F4791" w:rsidP="00F13D2F">
            <w:pPr>
              <w:pStyle w:val="TableBodyText"/>
              <w:jc w:val="right"/>
            </w:pPr>
            <w:r w:rsidRPr="00A25F2C">
              <w:t>15.8</w:t>
            </w:r>
          </w:p>
        </w:tc>
        <w:tc>
          <w:tcPr>
            <w:tcW w:w="573" w:type="pct"/>
          </w:tcPr>
          <w:p w14:paraId="411AA47F" w14:textId="77777777" w:rsidR="007F4791" w:rsidRPr="00A25F2C" w:rsidRDefault="007F4791" w:rsidP="00F13D2F">
            <w:pPr>
              <w:pStyle w:val="TableBodyText"/>
              <w:jc w:val="right"/>
            </w:pPr>
            <w:r w:rsidRPr="00A25F2C">
              <w:t>15.8</w:t>
            </w:r>
          </w:p>
        </w:tc>
        <w:tc>
          <w:tcPr>
            <w:tcW w:w="573" w:type="pct"/>
          </w:tcPr>
          <w:p w14:paraId="36257886" w14:textId="77777777" w:rsidR="007F4791" w:rsidRPr="00A25F2C" w:rsidRDefault="007F4791" w:rsidP="00F13D2F">
            <w:pPr>
              <w:pStyle w:val="TableBodyText"/>
              <w:jc w:val="right"/>
            </w:pPr>
            <w:r w:rsidRPr="00A25F2C">
              <w:t>30.8</w:t>
            </w:r>
          </w:p>
        </w:tc>
        <w:tc>
          <w:tcPr>
            <w:tcW w:w="574" w:type="pct"/>
          </w:tcPr>
          <w:p w14:paraId="568D8518" w14:textId="77777777" w:rsidR="007F4791" w:rsidRPr="00A25F2C" w:rsidRDefault="007F4791" w:rsidP="00F13D2F">
            <w:pPr>
              <w:pStyle w:val="TableBodyText"/>
              <w:jc w:val="right"/>
            </w:pPr>
            <w:r w:rsidRPr="00A25F2C">
              <w:t>30.8</w:t>
            </w:r>
          </w:p>
        </w:tc>
      </w:tr>
      <w:tr w:rsidR="007F4791" w:rsidRPr="00A25F2C" w14:paraId="56E487E9" w14:textId="77777777" w:rsidTr="00BA3F27">
        <w:tc>
          <w:tcPr>
            <w:tcW w:w="2134" w:type="pct"/>
          </w:tcPr>
          <w:p w14:paraId="0E448061" w14:textId="77777777" w:rsidR="007F4791" w:rsidRPr="00A25F2C" w:rsidRDefault="007F4791" w:rsidP="004E1FA1">
            <w:pPr>
              <w:pStyle w:val="TableBodyText"/>
            </w:pPr>
            <w:r w:rsidRPr="00A25F2C">
              <w:t>Maintenance</w:t>
            </w:r>
          </w:p>
        </w:tc>
        <w:tc>
          <w:tcPr>
            <w:tcW w:w="573" w:type="pct"/>
          </w:tcPr>
          <w:p w14:paraId="74FDD058" w14:textId="77777777" w:rsidR="007F4791" w:rsidRPr="00A25F2C" w:rsidRDefault="007F4791" w:rsidP="00F13D2F">
            <w:pPr>
              <w:pStyle w:val="TableBodyText"/>
              <w:jc w:val="right"/>
            </w:pPr>
            <w:r w:rsidRPr="00A25F2C">
              <w:t>111.2</w:t>
            </w:r>
          </w:p>
        </w:tc>
        <w:tc>
          <w:tcPr>
            <w:tcW w:w="573" w:type="pct"/>
          </w:tcPr>
          <w:p w14:paraId="482EA845" w14:textId="77777777" w:rsidR="007F4791" w:rsidRPr="00A25F2C" w:rsidRDefault="007F4791" w:rsidP="00F13D2F">
            <w:pPr>
              <w:pStyle w:val="TableBodyText"/>
              <w:jc w:val="right"/>
            </w:pPr>
            <w:r w:rsidRPr="00A25F2C">
              <w:t>27.3</w:t>
            </w:r>
          </w:p>
        </w:tc>
        <w:tc>
          <w:tcPr>
            <w:tcW w:w="573" w:type="pct"/>
          </w:tcPr>
          <w:p w14:paraId="40FA32E9" w14:textId="77777777" w:rsidR="007F4791" w:rsidRPr="00A25F2C" w:rsidRDefault="007F4791" w:rsidP="00F13D2F">
            <w:pPr>
              <w:pStyle w:val="TableBodyText"/>
              <w:jc w:val="right"/>
            </w:pPr>
            <w:r w:rsidRPr="00A25F2C">
              <w:t>27.3</w:t>
            </w:r>
          </w:p>
        </w:tc>
        <w:tc>
          <w:tcPr>
            <w:tcW w:w="573" w:type="pct"/>
          </w:tcPr>
          <w:p w14:paraId="597FF84C" w14:textId="77777777" w:rsidR="007F4791" w:rsidRPr="00A25F2C" w:rsidRDefault="007F4791" w:rsidP="00F13D2F">
            <w:pPr>
              <w:pStyle w:val="TableBodyText"/>
              <w:jc w:val="right"/>
            </w:pPr>
            <w:r w:rsidRPr="00A25F2C">
              <w:t>27.3</w:t>
            </w:r>
          </w:p>
        </w:tc>
        <w:tc>
          <w:tcPr>
            <w:tcW w:w="574" w:type="pct"/>
          </w:tcPr>
          <w:p w14:paraId="1D656BC8" w14:textId="77777777" w:rsidR="007F4791" w:rsidRPr="00A25F2C" w:rsidRDefault="007F4791" w:rsidP="00F13D2F">
            <w:pPr>
              <w:pStyle w:val="TableBodyText"/>
              <w:jc w:val="right"/>
            </w:pPr>
            <w:r w:rsidRPr="00A25F2C">
              <w:t>29.3</w:t>
            </w:r>
          </w:p>
        </w:tc>
      </w:tr>
      <w:tr w:rsidR="007F4791" w:rsidRPr="00A25F2C" w14:paraId="68FD0980" w14:textId="77777777" w:rsidTr="00BA3F27">
        <w:tc>
          <w:tcPr>
            <w:tcW w:w="2134" w:type="pct"/>
          </w:tcPr>
          <w:p w14:paraId="183ECE96" w14:textId="77777777" w:rsidR="007F4791" w:rsidRPr="00A25F2C" w:rsidRDefault="007F4791" w:rsidP="004E1FA1">
            <w:pPr>
              <w:pStyle w:val="TableBodyText"/>
            </w:pPr>
            <w:r w:rsidRPr="00A25F2C">
              <w:t>Materials</w:t>
            </w:r>
          </w:p>
        </w:tc>
        <w:tc>
          <w:tcPr>
            <w:tcW w:w="573" w:type="pct"/>
          </w:tcPr>
          <w:p w14:paraId="3C881B45" w14:textId="77777777" w:rsidR="007F4791" w:rsidRPr="00A25F2C" w:rsidRDefault="007F4791" w:rsidP="00F13D2F">
            <w:pPr>
              <w:pStyle w:val="TableBodyText"/>
              <w:jc w:val="right"/>
            </w:pPr>
            <w:r w:rsidRPr="00A25F2C">
              <w:t>13.1</w:t>
            </w:r>
          </w:p>
        </w:tc>
        <w:tc>
          <w:tcPr>
            <w:tcW w:w="573" w:type="pct"/>
          </w:tcPr>
          <w:p w14:paraId="4C8B0A8B" w14:textId="77777777" w:rsidR="007F4791" w:rsidRPr="00A25F2C" w:rsidRDefault="007F4791" w:rsidP="00F13D2F">
            <w:pPr>
              <w:pStyle w:val="TableBodyText"/>
              <w:jc w:val="right"/>
            </w:pPr>
            <w:r w:rsidRPr="00A25F2C">
              <w:t>3.3</w:t>
            </w:r>
          </w:p>
        </w:tc>
        <w:tc>
          <w:tcPr>
            <w:tcW w:w="573" w:type="pct"/>
          </w:tcPr>
          <w:p w14:paraId="0D206698" w14:textId="77777777" w:rsidR="007F4791" w:rsidRPr="00A25F2C" w:rsidRDefault="007F4791" w:rsidP="00F13D2F">
            <w:pPr>
              <w:pStyle w:val="TableBodyText"/>
              <w:jc w:val="right"/>
            </w:pPr>
            <w:r w:rsidRPr="00A25F2C">
              <w:t>3.3</w:t>
            </w:r>
          </w:p>
        </w:tc>
        <w:tc>
          <w:tcPr>
            <w:tcW w:w="573" w:type="pct"/>
          </w:tcPr>
          <w:p w14:paraId="2F0C7E81" w14:textId="77777777" w:rsidR="007F4791" w:rsidRPr="00A25F2C" w:rsidRDefault="007F4791" w:rsidP="00F13D2F">
            <w:pPr>
              <w:pStyle w:val="TableBodyText"/>
              <w:jc w:val="right"/>
            </w:pPr>
            <w:r w:rsidRPr="00A25F2C">
              <w:t>3.3</w:t>
            </w:r>
          </w:p>
        </w:tc>
        <w:tc>
          <w:tcPr>
            <w:tcW w:w="574" w:type="pct"/>
          </w:tcPr>
          <w:p w14:paraId="0D5DF7ED" w14:textId="77777777" w:rsidR="007F4791" w:rsidRPr="00A25F2C" w:rsidRDefault="007F4791" w:rsidP="00F13D2F">
            <w:pPr>
              <w:pStyle w:val="TableBodyText"/>
              <w:jc w:val="right"/>
            </w:pPr>
            <w:r w:rsidRPr="00A25F2C">
              <w:t>3.2</w:t>
            </w:r>
          </w:p>
        </w:tc>
      </w:tr>
      <w:tr w:rsidR="007F4791" w:rsidRPr="00A25F2C" w14:paraId="12C822F0" w14:textId="77777777" w:rsidTr="00BA3F27">
        <w:tc>
          <w:tcPr>
            <w:tcW w:w="2134" w:type="pct"/>
          </w:tcPr>
          <w:p w14:paraId="4E625B80" w14:textId="77777777" w:rsidR="007F4791" w:rsidRPr="00A25F2C" w:rsidRDefault="007F4791" w:rsidP="004E1FA1">
            <w:pPr>
              <w:pStyle w:val="TableBodyText"/>
            </w:pPr>
            <w:r w:rsidRPr="00A25F2C">
              <w:t>IT</w:t>
            </w:r>
          </w:p>
        </w:tc>
        <w:tc>
          <w:tcPr>
            <w:tcW w:w="573" w:type="pct"/>
          </w:tcPr>
          <w:p w14:paraId="2E5D1BD6" w14:textId="77777777" w:rsidR="007F4791" w:rsidRPr="00A25F2C" w:rsidRDefault="007F4791" w:rsidP="00F13D2F">
            <w:pPr>
              <w:pStyle w:val="TableBodyText"/>
              <w:jc w:val="right"/>
            </w:pPr>
            <w:r w:rsidRPr="00A25F2C">
              <w:t>37.2</w:t>
            </w:r>
          </w:p>
        </w:tc>
        <w:tc>
          <w:tcPr>
            <w:tcW w:w="573" w:type="pct"/>
          </w:tcPr>
          <w:p w14:paraId="4501AE85" w14:textId="77777777" w:rsidR="007F4791" w:rsidRPr="00A25F2C" w:rsidRDefault="007F4791" w:rsidP="00F13D2F">
            <w:pPr>
              <w:pStyle w:val="TableBodyText"/>
              <w:jc w:val="right"/>
            </w:pPr>
            <w:r w:rsidRPr="00A25F2C">
              <w:t>9.3</w:t>
            </w:r>
          </w:p>
        </w:tc>
        <w:tc>
          <w:tcPr>
            <w:tcW w:w="573" w:type="pct"/>
          </w:tcPr>
          <w:p w14:paraId="6C90EC9F" w14:textId="77777777" w:rsidR="007F4791" w:rsidRPr="00A25F2C" w:rsidRDefault="007F4791" w:rsidP="00F13D2F">
            <w:pPr>
              <w:pStyle w:val="TableBodyText"/>
              <w:jc w:val="right"/>
            </w:pPr>
            <w:r w:rsidRPr="00A25F2C">
              <w:t>9.3</w:t>
            </w:r>
          </w:p>
        </w:tc>
        <w:tc>
          <w:tcPr>
            <w:tcW w:w="573" w:type="pct"/>
          </w:tcPr>
          <w:p w14:paraId="0ED27478" w14:textId="77777777" w:rsidR="007F4791" w:rsidRPr="00A25F2C" w:rsidRDefault="007F4791" w:rsidP="00F13D2F">
            <w:pPr>
              <w:pStyle w:val="TableBodyText"/>
              <w:jc w:val="right"/>
            </w:pPr>
            <w:r w:rsidRPr="00A25F2C">
              <w:t>9.3</w:t>
            </w:r>
          </w:p>
        </w:tc>
        <w:tc>
          <w:tcPr>
            <w:tcW w:w="574" w:type="pct"/>
          </w:tcPr>
          <w:p w14:paraId="3ACAD7DE" w14:textId="77777777" w:rsidR="007F4791" w:rsidRPr="00A25F2C" w:rsidRDefault="007F4791" w:rsidP="00F13D2F">
            <w:pPr>
              <w:pStyle w:val="TableBodyText"/>
              <w:jc w:val="right"/>
            </w:pPr>
            <w:r w:rsidRPr="00A25F2C">
              <w:t>9.3</w:t>
            </w:r>
          </w:p>
        </w:tc>
      </w:tr>
      <w:tr w:rsidR="007F4791" w:rsidRPr="00A25F2C" w14:paraId="0CB8F9BE" w14:textId="77777777" w:rsidTr="00BA3F27">
        <w:tc>
          <w:tcPr>
            <w:tcW w:w="2134" w:type="pct"/>
          </w:tcPr>
          <w:p w14:paraId="22F10903" w14:textId="77777777" w:rsidR="007F4791" w:rsidRPr="00A25F2C" w:rsidRDefault="007F4791" w:rsidP="004E1FA1">
            <w:pPr>
              <w:pStyle w:val="TableBodyText"/>
            </w:pPr>
            <w:r w:rsidRPr="00A25F2C">
              <w:t>Energy</w:t>
            </w:r>
          </w:p>
        </w:tc>
        <w:tc>
          <w:tcPr>
            <w:tcW w:w="573" w:type="pct"/>
          </w:tcPr>
          <w:p w14:paraId="13F377EF" w14:textId="77777777" w:rsidR="007F4791" w:rsidRPr="00A25F2C" w:rsidRDefault="007F4791" w:rsidP="00F13D2F">
            <w:pPr>
              <w:pStyle w:val="TableBodyText"/>
              <w:jc w:val="right"/>
            </w:pPr>
            <w:r w:rsidRPr="00A25F2C">
              <w:t>48.8</w:t>
            </w:r>
          </w:p>
        </w:tc>
        <w:tc>
          <w:tcPr>
            <w:tcW w:w="573" w:type="pct"/>
          </w:tcPr>
          <w:p w14:paraId="7E4CB601" w14:textId="77777777" w:rsidR="007F4791" w:rsidRPr="00A25F2C" w:rsidRDefault="007F4791" w:rsidP="00F13D2F">
            <w:pPr>
              <w:pStyle w:val="TableBodyText"/>
              <w:jc w:val="right"/>
            </w:pPr>
            <w:r w:rsidRPr="00A25F2C">
              <w:t>12.2</w:t>
            </w:r>
          </w:p>
        </w:tc>
        <w:tc>
          <w:tcPr>
            <w:tcW w:w="573" w:type="pct"/>
          </w:tcPr>
          <w:p w14:paraId="5FEF4EAE" w14:textId="77777777" w:rsidR="007F4791" w:rsidRPr="00A25F2C" w:rsidRDefault="007F4791" w:rsidP="00F13D2F">
            <w:pPr>
              <w:pStyle w:val="TableBodyText"/>
              <w:jc w:val="right"/>
            </w:pPr>
            <w:r w:rsidRPr="00A25F2C">
              <w:t>12.2</w:t>
            </w:r>
          </w:p>
        </w:tc>
        <w:tc>
          <w:tcPr>
            <w:tcW w:w="573" w:type="pct"/>
          </w:tcPr>
          <w:p w14:paraId="7AAA4F09" w14:textId="77777777" w:rsidR="007F4791" w:rsidRPr="00A25F2C" w:rsidRDefault="007F4791" w:rsidP="00F13D2F">
            <w:pPr>
              <w:pStyle w:val="TableBodyText"/>
              <w:jc w:val="right"/>
            </w:pPr>
            <w:r w:rsidRPr="00A25F2C">
              <w:t>12.2</w:t>
            </w:r>
          </w:p>
        </w:tc>
        <w:tc>
          <w:tcPr>
            <w:tcW w:w="574" w:type="pct"/>
          </w:tcPr>
          <w:p w14:paraId="72A706B3" w14:textId="77777777" w:rsidR="007F4791" w:rsidRPr="00A25F2C" w:rsidRDefault="007F4791" w:rsidP="00F13D2F">
            <w:pPr>
              <w:pStyle w:val="TableBodyText"/>
              <w:jc w:val="right"/>
            </w:pPr>
            <w:r w:rsidRPr="00A25F2C">
              <w:t>12.2</w:t>
            </w:r>
          </w:p>
        </w:tc>
      </w:tr>
      <w:tr w:rsidR="007F4791" w:rsidRPr="00A25F2C" w14:paraId="35F3B017" w14:textId="77777777" w:rsidTr="00BA3F27">
        <w:tc>
          <w:tcPr>
            <w:tcW w:w="2134" w:type="pct"/>
          </w:tcPr>
          <w:p w14:paraId="2F51931D" w14:textId="77777777" w:rsidR="007F4791" w:rsidRPr="00A25F2C" w:rsidRDefault="007F4791" w:rsidP="004E1FA1">
            <w:pPr>
              <w:pStyle w:val="TableBodyText"/>
            </w:pPr>
            <w:r w:rsidRPr="00A25F2C">
              <w:t>Fees &amp; Charges</w:t>
            </w:r>
          </w:p>
        </w:tc>
        <w:tc>
          <w:tcPr>
            <w:tcW w:w="573" w:type="pct"/>
          </w:tcPr>
          <w:p w14:paraId="67859600" w14:textId="77777777" w:rsidR="007F4791" w:rsidRPr="00A25F2C" w:rsidRDefault="007F4791" w:rsidP="00F13D2F">
            <w:pPr>
              <w:pStyle w:val="TableBodyText"/>
              <w:jc w:val="right"/>
            </w:pPr>
            <w:r w:rsidRPr="00A25F2C">
              <w:t>12.1</w:t>
            </w:r>
          </w:p>
        </w:tc>
        <w:tc>
          <w:tcPr>
            <w:tcW w:w="573" w:type="pct"/>
          </w:tcPr>
          <w:p w14:paraId="0AD86F5F" w14:textId="77777777" w:rsidR="007F4791" w:rsidRPr="00A25F2C" w:rsidRDefault="007F4791" w:rsidP="00F13D2F">
            <w:pPr>
              <w:pStyle w:val="TableBodyText"/>
              <w:jc w:val="right"/>
            </w:pPr>
            <w:r w:rsidRPr="00A25F2C">
              <w:t>3.0</w:t>
            </w:r>
          </w:p>
        </w:tc>
        <w:tc>
          <w:tcPr>
            <w:tcW w:w="573" w:type="pct"/>
          </w:tcPr>
          <w:p w14:paraId="2C353C2C" w14:textId="77777777" w:rsidR="007F4791" w:rsidRPr="00A25F2C" w:rsidRDefault="007F4791" w:rsidP="00F13D2F">
            <w:pPr>
              <w:pStyle w:val="TableBodyText"/>
              <w:jc w:val="right"/>
            </w:pPr>
            <w:r w:rsidRPr="00A25F2C">
              <w:t>3.0</w:t>
            </w:r>
          </w:p>
        </w:tc>
        <w:tc>
          <w:tcPr>
            <w:tcW w:w="573" w:type="pct"/>
          </w:tcPr>
          <w:p w14:paraId="1152215B" w14:textId="77777777" w:rsidR="007F4791" w:rsidRPr="00A25F2C" w:rsidRDefault="007F4791" w:rsidP="00F13D2F">
            <w:pPr>
              <w:pStyle w:val="TableBodyText"/>
              <w:jc w:val="right"/>
            </w:pPr>
            <w:r w:rsidRPr="00A25F2C">
              <w:t>3.0</w:t>
            </w:r>
          </w:p>
        </w:tc>
        <w:tc>
          <w:tcPr>
            <w:tcW w:w="574" w:type="pct"/>
          </w:tcPr>
          <w:p w14:paraId="16D64A79" w14:textId="77777777" w:rsidR="007F4791" w:rsidRPr="00A25F2C" w:rsidRDefault="007F4791" w:rsidP="00F13D2F">
            <w:pPr>
              <w:pStyle w:val="TableBodyText"/>
              <w:jc w:val="right"/>
            </w:pPr>
            <w:r w:rsidRPr="00A25F2C">
              <w:t>3.1</w:t>
            </w:r>
          </w:p>
        </w:tc>
      </w:tr>
      <w:tr w:rsidR="007F4791" w:rsidRPr="00A25F2C" w14:paraId="33E8527F" w14:textId="77777777" w:rsidTr="00BA3F27">
        <w:tc>
          <w:tcPr>
            <w:tcW w:w="2134" w:type="pct"/>
          </w:tcPr>
          <w:p w14:paraId="60B73BAB" w14:textId="77777777" w:rsidR="007F4791" w:rsidRPr="00A25F2C" w:rsidRDefault="007F4791" w:rsidP="004E1FA1">
            <w:pPr>
              <w:pStyle w:val="TableBodyText"/>
            </w:pPr>
            <w:r w:rsidRPr="00A25F2C">
              <w:t>Transport</w:t>
            </w:r>
          </w:p>
        </w:tc>
        <w:tc>
          <w:tcPr>
            <w:tcW w:w="573" w:type="pct"/>
          </w:tcPr>
          <w:p w14:paraId="7078FCBD" w14:textId="77777777" w:rsidR="007F4791" w:rsidRPr="00A25F2C" w:rsidRDefault="007F4791" w:rsidP="00F13D2F">
            <w:pPr>
              <w:pStyle w:val="TableBodyText"/>
              <w:jc w:val="right"/>
            </w:pPr>
            <w:r w:rsidRPr="00A25F2C">
              <w:t>3.7</w:t>
            </w:r>
          </w:p>
        </w:tc>
        <w:tc>
          <w:tcPr>
            <w:tcW w:w="573" w:type="pct"/>
          </w:tcPr>
          <w:p w14:paraId="6C84D4E5" w14:textId="77777777" w:rsidR="007F4791" w:rsidRPr="00A25F2C" w:rsidRDefault="007F4791" w:rsidP="00F13D2F">
            <w:pPr>
              <w:pStyle w:val="TableBodyText"/>
              <w:jc w:val="right"/>
            </w:pPr>
            <w:r w:rsidRPr="00A25F2C">
              <w:t>0.9</w:t>
            </w:r>
          </w:p>
        </w:tc>
        <w:tc>
          <w:tcPr>
            <w:tcW w:w="573" w:type="pct"/>
          </w:tcPr>
          <w:p w14:paraId="3EE8474F" w14:textId="77777777" w:rsidR="007F4791" w:rsidRPr="00A25F2C" w:rsidRDefault="007F4791" w:rsidP="00F13D2F">
            <w:pPr>
              <w:pStyle w:val="TableBodyText"/>
              <w:jc w:val="right"/>
            </w:pPr>
            <w:r w:rsidRPr="00A25F2C">
              <w:t>0.9</w:t>
            </w:r>
          </w:p>
        </w:tc>
        <w:tc>
          <w:tcPr>
            <w:tcW w:w="573" w:type="pct"/>
          </w:tcPr>
          <w:p w14:paraId="70046DC0" w14:textId="77777777" w:rsidR="007F4791" w:rsidRPr="00A25F2C" w:rsidRDefault="007F4791" w:rsidP="00F13D2F">
            <w:pPr>
              <w:pStyle w:val="TableBodyText"/>
              <w:jc w:val="right"/>
            </w:pPr>
            <w:r w:rsidRPr="00A25F2C">
              <w:t>0.9</w:t>
            </w:r>
          </w:p>
        </w:tc>
        <w:tc>
          <w:tcPr>
            <w:tcW w:w="574" w:type="pct"/>
          </w:tcPr>
          <w:p w14:paraId="74F34699" w14:textId="77777777" w:rsidR="007F4791" w:rsidRPr="00A25F2C" w:rsidRDefault="007F4791" w:rsidP="00F13D2F">
            <w:pPr>
              <w:pStyle w:val="TableBodyText"/>
              <w:jc w:val="right"/>
            </w:pPr>
            <w:r w:rsidRPr="00A25F2C">
              <w:t>1.0</w:t>
            </w:r>
          </w:p>
        </w:tc>
      </w:tr>
      <w:tr w:rsidR="007F4791" w:rsidRPr="00A25F2C" w14:paraId="129173CA" w14:textId="77777777" w:rsidTr="00BA3F27">
        <w:tc>
          <w:tcPr>
            <w:tcW w:w="2134" w:type="pct"/>
          </w:tcPr>
          <w:p w14:paraId="72B18FCD" w14:textId="77777777" w:rsidR="007F4791" w:rsidRPr="00A25F2C" w:rsidRDefault="007F4791" w:rsidP="004E1FA1">
            <w:pPr>
              <w:pStyle w:val="TableBodyText"/>
            </w:pPr>
            <w:r w:rsidRPr="00A25F2C">
              <w:t>Rental &amp; Insurance</w:t>
            </w:r>
          </w:p>
        </w:tc>
        <w:tc>
          <w:tcPr>
            <w:tcW w:w="573" w:type="pct"/>
          </w:tcPr>
          <w:p w14:paraId="20E6981F" w14:textId="77777777" w:rsidR="007F4791" w:rsidRPr="00A25F2C" w:rsidRDefault="007F4791" w:rsidP="00F13D2F">
            <w:pPr>
              <w:pStyle w:val="TableBodyText"/>
              <w:jc w:val="right"/>
            </w:pPr>
            <w:r w:rsidRPr="00A25F2C">
              <w:t>7.8</w:t>
            </w:r>
          </w:p>
        </w:tc>
        <w:tc>
          <w:tcPr>
            <w:tcW w:w="573" w:type="pct"/>
          </w:tcPr>
          <w:p w14:paraId="49669F6C" w14:textId="77777777" w:rsidR="007F4791" w:rsidRPr="00A25F2C" w:rsidRDefault="007F4791" w:rsidP="00F13D2F">
            <w:pPr>
              <w:pStyle w:val="TableBodyText"/>
              <w:jc w:val="right"/>
            </w:pPr>
            <w:r w:rsidRPr="00A25F2C">
              <w:t>1.9</w:t>
            </w:r>
          </w:p>
        </w:tc>
        <w:tc>
          <w:tcPr>
            <w:tcW w:w="573" w:type="pct"/>
          </w:tcPr>
          <w:p w14:paraId="00FEDAFD" w14:textId="77777777" w:rsidR="007F4791" w:rsidRPr="00A25F2C" w:rsidRDefault="007F4791" w:rsidP="00F13D2F">
            <w:pPr>
              <w:pStyle w:val="TableBodyText"/>
              <w:jc w:val="right"/>
            </w:pPr>
            <w:r w:rsidRPr="00A25F2C">
              <w:t>1.9</w:t>
            </w:r>
          </w:p>
        </w:tc>
        <w:tc>
          <w:tcPr>
            <w:tcW w:w="573" w:type="pct"/>
          </w:tcPr>
          <w:p w14:paraId="4C23CCD7" w14:textId="77777777" w:rsidR="007F4791" w:rsidRPr="00A25F2C" w:rsidRDefault="007F4791" w:rsidP="00F13D2F">
            <w:pPr>
              <w:pStyle w:val="TableBodyText"/>
              <w:jc w:val="right"/>
            </w:pPr>
            <w:r w:rsidRPr="00A25F2C">
              <w:t>2.0</w:t>
            </w:r>
          </w:p>
        </w:tc>
        <w:tc>
          <w:tcPr>
            <w:tcW w:w="574" w:type="pct"/>
          </w:tcPr>
          <w:p w14:paraId="14761F0A" w14:textId="77777777" w:rsidR="007F4791" w:rsidRPr="00A25F2C" w:rsidRDefault="007F4791" w:rsidP="00F13D2F">
            <w:pPr>
              <w:pStyle w:val="TableBodyText"/>
              <w:jc w:val="right"/>
            </w:pPr>
            <w:r w:rsidRPr="00A25F2C">
              <w:t>2.0</w:t>
            </w:r>
          </w:p>
        </w:tc>
      </w:tr>
      <w:tr w:rsidR="007F4791" w:rsidRPr="00A25F2C" w14:paraId="43B01FB2" w14:textId="77777777" w:rsidTr="00BA3F27">
        <w:tc>
          <w:tcPr>
            <w:tcW w:w="2134" w:type="pct"/>
          </w:tcPr>
          <w:p w14:paraId="7113C5DA" w14:textId="77777777" w:rsidR="007F4791" w:rsidRPr="00A25F2C" w:rsidRDefault="007F4791" w:rsidP="004E1FA1">
            <w:pPr>
              <w:pStyle w:val="TableBodyText"/>
            </w:pPr>
            <w:r w:rsidRPr="00A25F2C">
              <w:t>Grants</w:t>
            </w:r>
          </w:p>
        </w:tc>
        <w:tc>
          <w:tcPr>
            <w:tcW w:w="573" w:type="pct"/>
          </w:tcPr>
          <w:p w14:paraId="1E9A2240" w14:textId="77777777" w:rsidR="007F4791" w:rsidRPr="00A25F2C" w:rsidRDefault="007F4791" w:rsidP="00F13D2F">
            <w:pPr>
              <w:pStyle w:val="TableBodyText"/>
              <w:jc w:val="right"/>
            </w:pPr>
            <w:r w:rsidRPr="00A25F2C">
              <w:t>9.0</w:t>
            </w:r>
          </w:p>
        </w:tc>
        <w:tc>
          <w:tcPr>
            <w:tcW w:w="573" w:type="pct"/>
          </w:tcPr>
          <w:p w14:paraId="1A20B404" w14:textId="77777777" w:rsidR="007F4791" w:rsidRPr="00A25F2C" w:rsidRDefault="007F4791" w:rsidP="00F13D2F">
            <w:pPr>
              <w:pStyle w:val="TableBodyText"/>
              <w:jc w:val="right"/>
            </w:pPr>
            <w:r w:rsidRPr="00A25F2C">
              <w:t>2.3</w:t>
            </w:r>
          </w:p>
        </w:tc>
        <w:tc>
          <w:tcPr>
            <w:tcW w:w="573" w:type="pct"/>
          </w:tcPr>
          <w:p w14:paraId="73A6AADB" w14:textId="77777777" w:rsidR="007F4791" w:rsidRPr="00A25F2C" w:rsidRDefault="007F4791" w:rsidP="00F13D2F">
            <w:pPr>
              <w:pStyle w:val="TableBodyText"/>
              <w:jc w:val="right"/>
            </w:pPr>
            <w:r w:rsidRPr="00A25F2C">
              <w:t>2.3</w:t>
            </w:r>
          </w:p>
        </w:tc>
        <w:tc>
          <w:tcPr>
            <w:tcW w:w="573" w:type="pct"/>
          </w:tcPr>
          <w:p w14:paraId="5BF5969B" w14:textId="77777777" w:rsidR="007F4791" w:rsidRPr="00A25F2C" w:rsidRDefault="007F4791" w:rsidP="00F13D2F">
            <w:pPr>
              <w:pStyle w:val="TableBodyText"/>
              <w:jc w:val="right"/>
            </w:pPr>
            <w:r w:rsidRPr="00A25F2C">
              <w:t>2.2</w:t>
            </w:r>
          </w:p>
        </w:tc>
        <w:tc>
          <w:tcPr>
            <w:tcW w:w="574" w:type="pct"/>
          </w:tcPr>
          <w:p w14:paraId="779FACAB" w14:textId="77777777" w:rsidR="007F4791" w:rsidRPr="00A25F2C" w:rsidRDefault="007F4791" w:rsidP="00F13D2F">
            <w:pPr>
              <w:pStyle w:val="TableBodyText"/>
              <w:jc w:val="right"/>
            </w:pPr>
            <w:r w:rsidRPr="00A25F2C">
              <w:t>2.2</w:t>
            </w:r>
          </w:p>
        </w:tc>
      </w:tr>
      <w:tr w:rsidR="007F4791" w:rsidRPr="00A25F2C" w14:paraId="666182C1" w14:textId="77777777" w:rsidTr="00BA3F27">
        <w:tc>
          <w:tcPr>
            <w:tcW w:w="2134" w:type="pct"/>
          </w:tcPr>
          <w:p w14:paraId="56BCC801" w14:textId="77777777" w:rsidR="007F4791" w:rsidRPr="00A25F2C" w:rsidRDefault="007F4791" w:rsidP="004E1FA1">
            <w:pPr>
              <w:pStyle w:val="TableBodyText"/>
            </w:pPr>
            <w:r w:rsidRPr="00A25F2C">
              <w:t>Other Expense</w:t>
            </w:r>
          </w:p>
        </w:tc>
        <w:tc>
          <w:tcPr>
            <w:tcW w:w="573" w:type="pct"/>
          </w:tcPr>
          <w:p w14:paraId="2351AE20" w14:textId="77777777" w:rsidR="007F4791" w:rsidRPr="00A25F2C" w:rsidRDefault="007F4791" w:rsidP="00F13D2F">
            <w:pPr>
              <w:pStyle w:val="TableBodyText"/>
              <w:jc w:val="right"/>
            </w:pPr>
            <w:r w:rsidRPr="00A25F2C">
              <w:t>2.0</w:t>
            </w:r>
          </w:p>
        </w:tc>
        <w:tc>
          <w:tcPr>
            <w:tcW w:w="573" w:type="pct"/>
          </w:tcPr>
          <w:p w14:paraId="0F91BA59" w14:textId="77777777" w:rsidR="007F4791" w:rsidRPr="00A25F2C" w:rsidRDefault="007F4791" w:rsidP="00F13D2F">
            <w:pPr>
              <w:pStyle w:val="TableBodyText"/>
              <w:jc w:val="right"/>
            </w:pPr>
            <w:r w:rsidRPr="00A25F2C">
              <w:t>0.5</w:t>
            </w:r>
          </w:p>
        </w:tc>
        <w:tc>
          <w:tcPr>
            <w:tcW w:w="573" w:type="pct"/>
          </w:tcPr>
          <w:p w14:paraId="64A6AF10" w14:textId="77777777" w:rsidR="007F4791" w:rsidRPr="00A25F2C" w:rsidRDefault="007F4791" w:rsidP="00F13D2F">
            <w:pPr>
              <w:pStyle w:val="TableBodyText"/>
              <w:jc w:val="right"/>
            </w:pPr>
            <w:r w:rsidRPr="00A25F2C">
              <w:t>0.5</w:t>
            </w:r>
          </w:p>
        </w:tc>
        <w:tc>
          <w:tcPr>
            <w:tcW w:w="573" w:type="pct"/>
          </w:tcPr>
          <w:p w14:paraId="6996E4A2" w14:textId="77777777" w:rsidR="007F4791" w:rsidRPr="00A25F2C" w:rsidRDefault="007F4791" w:rsidP="00F13D2F">
            <w:pPr>
              <w:pStyle w:val="TableBodyText"/>
              <w:jc w:val="right"/>
            </w:pPr>
            <w:r w:rsidRPr="00A25F2C">
              <w:t>0.5</w:t>
            </w:r>
          </w:p>
        </w:tc>
        <w:tc>
          <w:tcPr>
            <w:tcW w:w="574" w:type="pct"/>
          </w:tcPr>
          <w:p w14:paraId="5CCE034D" w14:textId="77777777" w:rsidR="007F4791" w:rsidRPr="00A25F2C" w:rsidRDefault="007F4791" w:rsidP="00F13D2F">
            <w:pPr>
              <w:pStyle w:val="TableBodyText"/>
              <w:jc w:val="right"/>
            </w:pPr>
            <w:r w:rsidRPr="00A25F2C">
              <w:t>0.5</w:t>
            </w:r>
          </w:p>
        </w:tc>
      </w:tr>
      <w:tr w:rsidR="007F4791" w:rsidRPr="00A25F2C" w14:paraId="21530A65" w14:textId="77777777" w:rsidTr="00BA3F27">
        <w:tc>
          <w:tcPr>
            <w:tcW w:w="2134" w:type="pct"/>
          </w:tcPr>
          <w:p w14:paraId="45E20187" w14:textId="77777777" w:rsidR="007F4791" w:rsidRPr="00A25F2C" w:rsidRDefault="007F4791" w:rsidP="004E1FA1">
            <w:pPr>
              <w:pStyle w:val="TableBodyText"/>
            </w:pPr>
            <w:r w:rsidRPr="00A25F2C">
              <w:t>Land Tax</w:t>
            </w:r>
          </w:p>
        </w:tc>
        <w:tc>
          <w:tcPr>
            <w:tcW w:w="573" w:type="pct"/>
          </w:tcPr>
          <w:p w14:paraId="0A61629A" w14:textId="77777777" w:rsidR="007F4791" w:rsidRPr="00A25F2C" w:rsidRDefault="007F4791" w:rsidP="00F13D2F">
            <w:pPr>
              <w:pStyle w:val="TableBodyText"/>
              <w:jc w:val="right"/>
            </w:pPr>
            <w:r w:rsidRPr="00A25F2C">
              <w:t>28.4</w:t>
            </w:r>
          </w:p>
        </w:tc>
        <w:tc>
          <w:tcPr>
            <w:tcW w:w="573" w:type="pct"/>
          </w:tcPr>
          <w:p w14:paraId="55105728" w14:textId="77777777" w:rsidR="007F4791" w:rsidRPr="00A25F2C" w:rsidRDefault="007F4791" w:rsidP="00F13D2F">
            <w:pPr>
              <w:pStyle w:val="TableBodyText"/>
              <w:jc w:val="right"/>
            </w:pPr>
            <w:r w:rsidRPr="00A25F2C">
              <w:t>7.1</w:t>
            </w:r>
          </w:p>
        </w:tc>
        <w:tc>
          <w:tcPr>
            <w:tcW w:w="573" w:type="pct"/>
          </w:tcPr>
          <w:p w14:paraId="6EEC6F9F" w14:textId="77777777" w:rsidR="007F4791" w:rsidRPr="00A25F2C" w:rsidRDefault="007F4791" w:rsidP="00F13D2F">
            <w:pPr>
              <w:pStyle w:val="TableBodyText"/>
              <w:jc w:val="right"/>
            </w:pPr>
            <w:r w:rsidRPr="00A25F2C">
              <w:t>7.1</w:t>
            </w:r>
          </w:p>
        </w:tc>
        <w:tc>
          <w:tcPr>
            <w:tcW w:w="573" w:type="pct"/>
          </w:tcPr>
          <w:p w14:paraId="7F831BA5" w14:textId="77777777" w:rsidR="007F4791" w:rsidRPr="00A25F2C" w:rsidRDefault="007F4791" w:rsidP="00F13D2F">
            <w:pPr>
              <w:pStyle w:val="TableBodyText"/>
              <w:jc w:val="right"/>
            </w:pPr>
            <w:r w:rsidRPr="00A25F2C">
              <w:t>7.1</w:t>
            </w:r>
          </w:p>
        </w:tc>
        <w:tc>
          <w:tcPr>
            <w:tcW w:w="574" w:type="pct"/>
          </w:tcPr>
          <w:p w14:paraId="63C896EE" w14:textId="77777777" w:rsidR="007F4791" w:rsidRPr="00A25F2C" w:rsidRDefault="007F4791" w:rsidP="00F13D2F">
            <w:pPr>
              <w:pStyle w:val="TableBodyText"/>
              <w:jc w:val="right"/>
            </w:pPr>
            <w:r w:rsidRPr="00A25F2C">
              <w:t>7.1</w:t>
            </w:r>
          </w:p>
        </w:tc>
      </w:tr>
      <w:tr w:rsidR="007F4791" w:rsidRPr="00A25F2C" w14:paraId="5992146B" w14:textId="77777777" w:rsidTr="00BA3F27">
        <w:tc>
          <w:tcPr>
            <w:tcW w:w="2134" w:type="pct"/>
          </w:tcPr>
          <w:p w14:paraId="09C287AE" w14:textId="77777777" w:rsidR="007F4791" w:rsidRPr="00A25F2C" w:rsidRDefault="007F4791" w:rsidP="004E1FA1">
            <w:pPr>
              <w:pStyle w:val="TableBodyText"/>
            </w:pPr>
            <w:r w:rsidRPr="00A25F2C">
              <w:rPr>
                <w:b/>
              </w:rPr>
              <w:t>Direct Operating Expenses (excl. VDP)</w:t>
            </w:r>
          </w:p>
        </w:tc>
        <w:tc>
          <w:tcPr>
            <w:tcW w:w="573" w:type="pct"/>
          </w:tcPr>
          <w:p w14:paraId="06DBE087" w14:textId="77777777" w:rsidR="007F4791" w:rsidRPr="00A25F2C" w:rsidRDefault="007F4791" w:rsidP="00F13D2F">
            <w:pPr>
              <w:pStyle w:val="TableBodyText"/>
              <w:jc w:val="right"/>
            </w:pPr>
            <w:r w:rsidRPr="00A25F2C">
              <w:rPr>
                <w:b/>
              </w:rPr>
              <w:t>544.9</w:t>
            </w:r>
          </w:p>
        </w:tc>
        <w:tc>
          <w:tcPr>
            <w:tcW w:w="573" w:type="pct"/>
          </w:tcPr>
          <w:p w14:paraId="3C414501" w14:textId="77777777" w:rsidR="007F4791" w:rsidRPr="00A25F2C" w:rsidRDefault="007F4791" w:rsidP="00F13D2F">
            <w:pPr>
              <w:pStyle w:val="TableBodyText"/>
              <w:jc w:val="right"/>
            </w:pPr>
            <w:r w:rsidRPr="00A25F2C">
              <w:rPr>
                <w:b/>
              </w:rPr>
              <w:t>133.5</w:t>
            </w:r>
          </w:p>
        </w:tc>
        <w:tc>
          <w:tcPr>
            <w:tcW w:w="573" w:type="pct"/>
          </w:tcPr>
          <w:p w14:paraId="2F01066A" w14:textId="77777777" w:rsidR="007F4791" w:rsidRPr="00A25F2C" w:rsidRDefault="007F4791" w:rsidP="00F13D2F">
            <w:pPr>
              <w:pStyle w:val="TableBodyText"/>
              <w:jc w:val="right"/>
            </w:pPr>
            <w:r w:rsidRPr="00A25F2C">
              <w:rPr>
                <w:b/>
              </w:rPr>
              <w:t>124.4</w:t>
            </w:r>
          </w:p>
        </w:tc>
        <w:tc>
          <w:tcPr>
            <w:tcW w:w="573" w:type="pct"/>
          </w:tcPr>
          <w:p w14:paraId="555FDC2F" w14:textId="77777777" w:rsidR="007F4791" w:rsidRPr="00A25F2C" w:rsidRDefault="007F4791" w:rsidP="00F13D2F">
            <w:pPr>
              <w:pStyle w:val="TableBodyText"/>
              <w:jc w:val="right"/>
            </w:pPr>
            <w:r w:rsidRPr="00A25F2C">
              <w:rPr>
                <w:b/>
              </w:rPr>
              <w:t>145.3</w:t>
            </w:r>
          </w:p>
        </w:tc>
        <w:tc>
          <w:tcPr>
            <w:tcW w:w="574" w:type="pct"/>
          </w:tcPr>
          <w:p w14:paraId="598EE272" w14:textId="77777777" w:rsidR="007F4791" w:rsidRPr="00A25F2C" w:rsidRDefault="007F4791" w:rsidP="00F13D2F">
            <w:pPr>
              <w:pStyle w:val="TableBodyText"/>
              <w:jc w:val="right"/>
              <w:rPr>
                <w:b/>
              </w:rPr>
            </w:pPr>
            <w:r w:rsidRPr="00A25F2C">
              <w:rPr>
                <w:b/>
              </w:rPr>
              <w:t>141.7</w:t>
            </w:r>
          </w:p>
        </w:tc>
      </w:tr>
      <w:tr w:rsidR="007F4791" w:rsidRPr="00A25F2C" w14:paraId="7D65A46D" w14:textId="77777777" w:rsidTr="00BA3F27">
        <w:tc>
          <w:tcPr>
            <w:tcW w:w="2134" w:type="pct"/>
          </w:tcPr>
          <w:p w14:paraId="54262104" w14:textId="77777777" w:rsidR="007F4791" w:rsidRPr="00A25F2C" w:rsidRDefault="007F4791" w:rsidP="004E1FA1">
            <w:pPr>
              <w:pStyle w:val="TableBodyText"/>
            </w:pPr>
            <w:r w:rsidRPr="00A25F2C">
              <w:t>Desalination Plant Operating Expenses</w:t>
            </w:r>
          </w:p>
        </w:tc>
        <w:tc>
          <w:tcPr>
            <w:tcW w:w="573" w:type="pct"/>
          </w:tcPr>
          <w:p w14:paraId="55CD6F9E" w14:textId="77777777" w:rsidR="007F4791" w:rsidRPr="00A25F2C" w:rsidRDefault="007F4791" w:rsidP="00F13D2F">
            <w:pPr>
              <w:pStyle w:val="TableBodyText"/>
              <w:jc w:val="right"/>
            </w:pPr>
            <w:r w:rsidRPr="00A25F2C">
              <w:t>142.9</w:t>
            </w:r>
          </w:p>
        </w:tc>
        <w:tc>
          <w:tcPr>
            <w:tcW w:w="573" w:type="pct"/>
          </w:tcPr>
          <w:p w14:paraId="453FE015" w14:textId="77777777" w:rsidR="007F4791" w:rsidRPr="00A25F2C" w:rsidRDefault="007F4791" w:rsidP="00F13D2F">
            <w:pPr>
              <w:pStyle w:val="TableBodyText"/>
              <w:jc w:val="right"/>
            </w:pPr>
            <w:r w:rsidRPr="00A25F2C">
              <w:t>47.3</w:t>
            </w:r>
          </w:p>
        </w:tc>
        <w:tc>
          <w:tcPr>
            <w:tcW w:w="573" w:type="pct"/>
          </w:tcPr>
          <w:p w14:paraId="3E845DBF" w14:textId="77777777" w:rsidR="007F4791" w:rsidRPr="00A25F2C" w:rsidRDefault="007F4791" w:rsidP="00F13D2F">
            <w:pPr>
              <w:pStyle w:val="TableBodyText"/>
              <w:jc w:val="right"/>
            </w:pPr>
            <w:r w:rsidRPr="00A25F2C">
              <w:t>42.6</w:t>
            </w:r>
          </w:p>
        </w:tc>
        <w:tc>
          <w:tcPr>
            <w:tcW w:w="573" w:type="pct"/>
          </w:tcPr>
          <w:p w14:paraId="770D333D" w14:textId="77777777" w:rsidR="007F4791" w:rsidRPr="00A25F2C" w:rsidRDefault="007F4791" w:rsidP="00F13D2F">
            <w:pPr>
              <w:pStyle w:val="TableBodyText"/>
              <w:jc w:val="right"/>
            </w:pPr>
            <w:r w:rsidRPr="00A25F2C">
              <w:t>30.3</w:t>
            </w:r>
          </w:p>
        </w:tc>
        <w:tc>
          <w:tcPr>
            <w:tcW w:w="574" w:type="pct"/>
          </w:tcPr>
          <w:p w14:paraId="5073969B" w14:textId="77777777" w:rsidR="007F4791" w:rsidRPr="00A25F2C" w:rsidRDefault="007F4791" w:rsidP="00F13D2F">
            <w:pPr>
              <w:pStyle w:val="TableBodyText"/>
              <w:jc w:val="right"/>
            </w:pPr>
            <w:r w:rsidRPr="00A25F2C">
              <w:t>22.7</w:t>
            </w:r>
          </w:p>
        </w:tc>
      </w:tr>
      <w:tr w:rsidR="007F4791" w:rsidRPr="00A25F2C" w14:paraId="401C3B93" w14:textId="77777777" w:rsidTr="00BA3F27">
        <w:tc>
          <w:tcPr>
            <w:tcW w:w="2134" w:type="pct"/>
          </w:tcPr>
          <w:p w14:paraId="3F61EDEC" w14:textId="77777777" w:rsidR="007F4791" w:rsidRPr="00A25F2C" w:rsidRDefault="007F4791" w:rsidP="004E1FA1">
            <w:pPr>
              <w:pStyle w:val="TableBodyText"/>
            </w:pPr>
            <w:r w:rsidRPr="00A25F2C">
              <w:rPr>
                <w:b/>
              </w:rPr>
              <w:t>Total Direct Operating Expenses</w:t>
            </w:r>
          </w:p>
        </w:tc>
        <w:tc>
          <w:tcPr>
            <w:tcW w:w="573" w:type="pct"/>
          </w:tcPr>
          <w:p w14:paraId="2AF1482F" w14:textId="77777777" w:rsidR="007F4791" w:rsidRPr="00A25F2C" w:rsidRDefault="007F4791" w:rsidP="00F13D2F">
            <w:pPr>
              <w:pStyle w:val="TableBodyText"/>
              <w:jc w:val="right"/>
            </w:pPr>
            <w:r w:rsidRPr="00A25F2C">
              <w:rPr>
                <w:b/>
              </w:rPr>
              <w:t>687.8</w:t>
            </w:r>
          </w:p>
        </w:tc>
        <w:tc>
          <w:tcPr>
            <w:tcW w:w="573" w:type="pct"/>
          </w:tcPr>
          <w:p w14:paraId="056AF790" w14:textId="77777777" w:rsidR="007F4791" w:rsidRPr="00A25F2C" w:rsidRDefault="007F4791" w:rsidP="00F13D2F">
            <w:pPr>
              <w:pStyle w:val="TableBodyText"/>
              <w:jc w:val="right"/>
            </w:pPr>
            <w:r w:rsidRPr="00A25F2C">
              <w:rPr>
                <w:b/>
              </w:rPr>
              <w:t>180.8</w:t>
            </w:r>
          </w:p>
        </w:tc>
        <w:tc>
          <w:tcPr>
            <w:tcW w:w="573" w:type="pct"/>
          </w:tcPr>
          <w:p w14:paraId="73A80389" w14:textId="77777777" w:rsidR="007F4791" w:rsidRPr="00A25F2C" w:rsidRDefault="007F4791" w:rsidP="00F13D2F">
            <w:pPr>
              <w:pStyle w:val="TableBodyText"/>
              <w:jc w:val="right"/>
            </w:pPr>
            <w:r w:rsidRPr="00A25F2C">
              <w:rPr>
                <w:b/>
              </w:rPr>
              <w:t>167.0</w:t>
            </w:r>
          </w:p>
        </w:tc>
        <w:tc>
          <w:tcPr>
            <w:tcW w:w="573" w:type="pct"/>
          </w:tcPr>
          <w:p w14:paraId="0F9C8FC4" w14:textId="77777777" w:rsidR="007F4791" w:rsidRPr="00A25F2C" w:rsidRDefault="007F4791" w:rsidP="00F13D2F">
            <w:pPr>
              <w:pStyle w:val="TableBodyText"/>
              <w:jc w:val="right"/>
            </w:pPr>
            <w:r w:rsidRPr="00A25F2C">
              <w:rPr>
                <w:b/>
              </w:rPr>
              <w:t>175.6</w:t>
            </w:r>
          </w:p>
        </w:tc>
        <w:tc>
          <w:tcPr>
            <w:tcW w:w="574" w:type="pct"/>
          </w:tcPr>
          <w:p w14:paraId="04440263" w14:textId="77777777" w:rsidR="007F4791" w:rsidRPr="00A25F2C" w:rsidRDefault="007F4791" w:rsidP="00F13D2F">
            <w:pPr>
              <w:pStyle w:val="TableBodyText"/>
              <w:jc w:val="right"/>
              <w:rPr>
                <w:b/>
              </w:rPr>
            </w:pPr>
            <w:r w:rsidRPr="00A25F2C">
              <w:rPr>
                <w:b/>
              </w:rPr>
              <w:t>164.4</w:t>
            </w:r>
          </w:p>
        </w:tc>
      </w:tr>
      <w:tr w:rsidR="007F4791" w:rsidRPr="00A25F2C" w14:paraId="5D23A7C0" w14:textId="77777777" w:rsidTr="00BA3F27">
        <w:tc>
          <w:tcPr>
            <w:tcW w:w="2134" w:type="pct"/>
          </w:tcPr>
          <w:p w14:paraId="1626454E" w14:textId="77777777" w:rsidR="007F4791" w:rsidRPr="00A25F2C" w:rsidRDefault="007F4791" w:rsidP="004E1FA1">
            <w:pPr>
              <w:pStyle w:val="TableBodyText"/>
            </w:pPr>
            <w:r w:rsidRPr="00A25F2C">
              <w:lastRenderedPageBreak/>
              <w:t>Depreciation</w:t>
            </w:r>
          </w:p>
        </w:tc>
        <w:tc>
          <w:tcPr>
            <w:tcW w:w="573" w:type="pct"/>
          </w:tcPr>
          <w:p w14:paraId="553D7F13" w14:textId="77777777" w:rsidR="007F4791" w:rsidRPr="00A25F2C" w:rsidRDefault="007F4791" w:rsidP="00F13D2F">
            <w:pPr>
              <w:pStyle w:val="TableBodyText"/>
              <w:jc w:val="right"/>
            </w:pPr>
            <w:r w:rsidRPr="00A25F2C">
              <w:t>385.0</w:t>
            </w:r>
          </w:p>
        </w:tc>
        <w:tc>
          <w:tcPr>
            <w:tcW w:w="573" w:type="pct"/>
          </w:tcPr>
          <w:p w14:paraId="3340EF85" w14:textId="77777777" w:rsidR="007F4791" w:rsidRPr="00A25F2C" w:rsidRDefault="007F4791" w:rsidP="00F13D2F">
            <w:pPr>
              <w:pStyle w:val="TableBodyText"/>
              <w:jc w:val="right"/>
            </w:pPr>
            <w:r w:rsidRPr="00A25F2C">
              <w:t>94.7</w:t>
            </w:r>
          </w:p>
        </w:tc>
        <w:tc>
          <w:tcPr>
            <w:tcW w:w="573" w:type="pct"/>
          </w:tcPr>
          <w:p w14:paraId="5D317F35" w14:textId="77777777" w:rsidR="007F4791" w:rsidRPr="00A25F2C" w:rsidRDefault="007F4791" w:rsidP="00F13D2F">
            <w:pPr>
              <w:pStyle w:val="TableBodyText"/>
              <w:jc w:val="right"/>
            </w:pPr>
            <w:r w:rsidRPr="00A25F2C">
              <w:t>96.7</w:t>
            </w:r>
          </w:p>
        </w:tc>
        <w:tc>
          <w:tcPr>
            <w:tcW w:w="573" w:type="pct"/>
          </w:tcPr>
          <w:p w14:paraId="4EE9EF71" w14:textId="77777777" w:rsidR="007F4791" w:rsidRPr="00A25F2C" w:rsidRDefault="007F4791" w:rsidP="00F13D2F">
            <w:pPr>
              <w:pStyle w:val="TableBodyText"/>
              <w:jc w:val="right"/>
            </w:pPr>
            <w:r w:rsidRPr="00A25F2C">
              <w:t>96.2</w:t>
            </w:r>
          </w:p>
        </w:tc>
        <w:tc>
          <w:tcPr>
            <w:tcW w:w="574" w:type="pct"/>
          </w:tcPr>
          <w:p w14:paraId="7F939E0F" w14:textId="77777777" w:rsidR="007F4791" w:rsidRPr="00A25F2C" w:rsidRDefault="007F4791" w:rsidP="00F13D2F">
            <w:pPr>
              <w:pStyle w:val="TableBodyText"/>
              <w:jc w:val="right"/>
            </w:pPr>
            <w:r w:rsidRPr="00A25F2C">
              <w:t>97.4</w:t>
            </w:r>
          </w:p>
        </w:tc>
      </w:tr>
      <w:tr w:rsidR="007F4791" w:rsidRPr="00A25F2C" w14:paraId="4149D6FA" w14:textId="77777777" w:rsidTr="00BA3F27">
        <w:tc>
          <w:tcPr>
            <w:tcW w:w="2134" w:type="pct"/>
          </w:tcPr>
          <w:p w14:paraId="3BE745CB" w14:textId="77777777" w:rsidR="007F4791" w:rsidRPr="00A25F2C" w:rsidRDefault="007F4791" w:rsidP="004E1FA1">
            <w:pPr>
              <w:pStyle w:val="TableBodyText"/>
            </w:pPr>
            <w:r w:rsidRPr="00A25F2C">
              <w:t>Depreciation - VDP Service Concession Asset</w:t>
            </w:r>
          </w:p>
        </w:tc>
        <w:tc>
          <w:tcPr>
            <w:tcW w:w="573" w:type="pct"/>
          </w:tcPr>
          <w:p w14:paraId="326D5CCE" w14:textId="77777777" w:rsidR="007F4791" w:rsidRPr="00A25F2C" w:rsidRDefault="007F4791" w:rsidP="00F13D2F">
            <w:pPr>
              <w:pStyle w:val="TableBodyText"/>
              <w:jc w:val="right"/>
            </w:pPr>
            <w:r w:rsidRPr="00A25F2C">
              <w:t>78.5</w:t>
            </w:r>
          </w:p>
        </w:tc>
        <w:tc>
          <w:tcPr>
            <w:tcW w:w="573" w:type="pct"/>
          </w:tcPr>
          <w:p w14:paraId="288E1F6F" w14:textId="77777777" w:rsidR="007F4791" w:rsidRPr="00A25F2C" w:rsidRDefault="007F4791" w:rsidP="00F13D2F">
            <w:pPr>
              <w:pStyle w:val="TableBodyText"/>
              <w:jc w:val="right"/>
            </w:pPr>
            <w:r w:rsidRPr="00A25F2C">
              <w:t>19.8</w:t>
            </w:r>
          </w:p>
        </w:tc>
        <w:tc>
          <w:tcPr>
            <w:tcW w:w="573" w:type="pct"/>
          </w:tcPr>
          <w:p w14:paraId="6F589B92" w14:textId="77777777" w:rsidR="007F4791" w:rsidRPr="00A25F2C" w:rsidRDefault="007F4791" w:rsidP="00F13D2F">
            <w:pPr>
              <w:pStyle w:val="TableBodyText"/>
              <w:jc w:val="right"/>
            </w:pPr>
            <w:r w:rsidRPr="00A25F2C">
              <w:t>19.7</w:t>
            </w:r>
          </w:p>
        </w:tc>
        <w:tc>
          <w:tcPr>
            <w:tcW w:w="573" w:type="pct"/>
          </w:tcPr>
          <w:p w14:paraId="35551D5C" w14:textId="77777777" w:rsidR="007F4791" w:rsidRPr="00A25F2C" w:rsidRDefault="007F4791" w:rsidP="00F13D2F">
            <w:pPr>
              <w:pStyle w:val="TableBodyText"/>
              <w:jc w:val="right"/>
            </w:pPr>
            <w:r w:rsidRPr="00A25F2C">
              <w:t>19.5</w:t>
            </w:r>
          </w:p>
        </w:tc>
        <w:tc>
          <w:tcPr>
            <w:tcW w:w="574" w:type="pct"/>
          </w:tcPr>
          <w:p w14:paraId="1D542CDD" w14:textId="77777777" w:rsidR="007F4791" w:rsidRPr="00A25F2C" w:rsidRDefault="007F4791" w:rsidP="00F13D2F">
            <w:pPr>
              <w:pStyle w:val="TableBodyText"/>
              <w:jc w:val="right"/>
            </w:pPr>
            <w:r w:rsidRPr="00A25F2C">
              <w:t>19.5</w:t>
            </w:r>
          </w:p>
        </w:tc>
      </w:tr>
      <w:tr w:rsidR="007F4791" w:rsidRPr="00A25F2C" w14:paraId="288550F2" w14:textId="77777777" w:rsidTr="00BA3F27">
        <w:tc>
          <w:tcPr>
            <w:tcW w:w="2134" w:type="pct"/>
          </w:tcPr>
          <w:p w14:paraId="48C9139B" w14:textId="77777777" w:rsidR="007F4791" w:rsidRPr="00A25F2C" w:rsidRDefault="007F4791" w:rsidP="004E1FA1">
            <w:pPr>
              <w:pStyle w:val="TableBodyText"/>
            </w:pPr>
            <w:r w:rsidRPr="00A25F2C">
              <w:t>Work in Progress/Asset Write-off</w:t>
            </w:r>
          </w:p>
        </w:tc>
        <w:tc>
          <w:tcPr>
            <w:tcW w:w="573" w:type="pct"/>
          </w:tcPr>
          <w:p w14:paraId="6501F287" w14:textId="77777777" w:rsidR="007F4791" w:rsidRPr="00A25F2C" w:rsidRDefault="007F4791" w:rsidP="00F13D2F">
            <w:pPr>
              <w:pStyle w:val="TableBodyText"/>
              <w:jc w:val="right"/>
            </w:pPr>
            <w:r w:rsidRPr="00A25F2C">
              <w:t>58.9</w:t>
            </w:r>
          </w:p>
        </w:tc>
        <w:tc>
          <w:tcPr>
            <w:tcW w:w="573" w:type="pct"/>
          </w:tcPr>
          <w:p w14:paraId="16C2215A" w14:textId="77777777" w:rsidR="007F4791" w:rsidRPr="00A25F2C" w:rsidRDefault="007F4791" w:rsidP="00F13D2F">
            <w:pPr>
              <w:pStyle w:val="TableBodyText"/>
              <w:jc w:val="right"/>
            </w:pPr>
            <w:r w:rsidRPr="00A25F2C">
              <w:t>12.5</w:t>
            </w:r>
          </w:p>
        </w:tc>
        <w:tc>
          <w:tcPr>
            <w:tcW w:w="573" w:type="pct"/>
          </w:tcPr>
          <w:p w14:paraId="30863A49" w14:textId="77777777" w:rsidR="007F4791" w:rsidRPr="00A25F2C" w:rsidRDefault="007F4791" w:rsidP="00F13D2F">
            <w:pPr>
              <w:pStyle w:val="TableBodyText"/>
              <w:jc w:val="right"/>
            </w:pPr>
            <w:r w:rsidRPr="00A25F2C">
              <w:t>12.5</w:t>
            </w:r>
          </w:p>
        </w:tc>
        <w:tc>
          <w:tcPr>
            <w:tcW w:w="573" w:type="pct"/>
          </w:tcPr>
          <w:p w14:paraId="2876CC07" w14:textId="77777777" w:rsidR="007F4791" w:rsidRPr="00A25F2C" w:rsidRDefault="007F4791" w:rsidP="00F13D2F">
            <w:pPr>
              <w:pStyle w:val="TableBodyText"/>
              <w:jc w:val="right"/>
            </w:pPr>
            <w:r w:rsidRPr="00A25F2C">
              <w:t>12.5</w:t>
            </w:r>
          </w:p>
        </w:tc>
        <w:tc>
          <w:tcPr>
            <w:tcW w:w="574" w:type="pct"/>
          </w:tcPr>
          <w:p w14:paraId="707DE349" w14:textId="77777777" w:rsidR="007F4791" w:rsidRPr="00A25F2C" w:rsidRDefault="007F4791" w:rsidP="00F13D2F">
            <w:pPr>
              <w:pStyle w:val="TableBodyText"/>
              <w:jc w:val="right"/>
            </w:pPr>
            <w:r w:rsidRPr="00A25F2C">
              <w:t>21.4</w:t>
            </w:r>
          </w:p>
        </w:tc>
      </w:tr>
      <w:tr w:rsidR="007F4791" w:rsidRPr="00A25F2C" w14:paraId="2DDB2E1D" w14:textId="77777777" w:rsidTr="00BA3F27">
        <w:tc>
          <w:tcPr>
            <w:tcW w:w="2134" w:type="pct"/>
          </w:tcPr>
          <w:p w14:paraId="1D7F1D45" w14:textId="77777777" w:rsidR="007F4791" w:rsidRPr="00A25F2C" w:rsidRDefault="007F4791" w:rsidP="004E1FA1">
            <w:pPr>
              <w:pStyle w:val="TableBodyText"/>
            </w:pPr>
            <w:r w:rsidRPr="00A25F2C">
              <w:rPr>
                <w:b/>
              </w:rPr>
              <w:t>Total Indirect Operating Expenses</w:t>
            </w:r>
          </w:p>
        </w:tc>
        <w:tc>
          <w:tcPr>
            <w:tcW w:w="573" w:type="pct"/>
          </w:tcPr>
          <w:p w14:paraId="3092B33D" w14:textId="77777777" w:rsidR="007F4791" w:rsidRPr="00A25F2C" w:rsidRDefault="007F4791" w:rsidP="00F13D2F">
            <w:pPr>
              <w:pStyle w:val="TableBodyText"/>
              <w:jc w:val="right"/>
            </w:pPr>
            <w:r w:rsidRPr="00A25F2C">
              <w:rPr>
                <w:b/>
              </w:rPr>
              <w:t>522.4</w:t>
            </w:r>
          </w:p>
        </w:tc>
        <w:tc>
          <w:tcPr>
            <w:tcW w:w="573" w:type="pct"/>
          </w:tcPr>
          <w:p w14:paraId="06F2F678" w14:textId="77777777" w:rsidR="007F4791" w:rsidRPr="00A25F2C" w:rsidRDefault="007F4791" w:rsidP="00F13D2F">
            <w:pPr>
              <w:pStyle w:val="TableBodyText"/>
              <w:jc w:val="right"/>
            </w:pPr>
            <w:r w:rsidRPr="00A25F2C">
              <w:rPr>
                <w:b/>
              </w:rPr>
              <w:t>127.0</w:t>
            </w:r>
          </w:p>
        </w:tc>
        <w:tc>
          <w:tcPr>
            <w:tcW w:w="573" w:type="pct"/>
          </w:tcPr>
          <w:p w14:paraId="31E5FBC3" w14:textId="77777777" w:rsidR="007F4791" w:rsidRPr="00A25F2C" w:rsidRDefault="007F4791" w:rsidP="00F13D2F">
            <w:pPr>
              <w:pStyle w:val="TableBodyText"/>
              <w:jc w:val="right"/>
            </w:pPr>
            <w:r w:rsidRPr="00A25F2C">
              <w:rPr>
                <w:b/>
              </w:rPr>
              <w:t>128.9</w:t>
            </w:r>
          </w:p>
        </w:tc>
        <w:tc>
          <w:tcPr>
            <w:tcW w:w="573" w:type="pct"/>
          </w:tcPr>
          <w:p w14:paraId="5EF83B15" w14:textId="77777777" w:rsidR="007F4791" w:rsidRPr="00A25F2C" w:rsidRDefault="007F4791" w:rsidP="00F13D2F">
            <w:pPr>
              <w:pStyle w:val="TableBodyText"/>
              <w:jc w:val="right"/>
            </w:pPr>
            <w:r w:rsidRPr="00A25F2C">
              <w:rPr>
                <w:b/>
              </w:rPr>
              <w:t>128.2</w:t>
            </w:r>
          </w:p>
        </w:tc>
        <w:tc>
          <w:tcPr>
            <w:tcW w:w="574" w:type="pct"/>
          </w:tcPr>
          <w:p w14:paraId="73FF8D43" w14:textId="77777777" w:rsidR="007F4791" w:rsidRPr="00A25F2C" w:rsidRDefault="007F4791" w:rsidP="00F13D2F">
            <w:pPr>
              <w:pStyle w:val="TableBodyText"/>
              <w:jc w:val="right"/>
              <w:rPr>
                <w:b/>
              </w:rPr>
            </w:pPr>
            <w:r w:rsidRPr="00A25F2C">
              <w:rPr>
                <w:b/>
              </w:rPr>
              <w:t>138.3</w:t>
            </w:r>
          </w:p>
        </w:tc>
      </w:tr>
      <w:tr w:rsidR="007F4791" w:rsidRPr="00A25F2C" w14:paraId="4B6300BC" w14:textId="77777777" w:rsidTr="00BA3F27">
        <w:tc>
          <w:tcPr>
            <w:tcW w:w="2134" w:type="pct"/>
          </w:tcPr>
          <w:p w14:paraId="4C84E23B" w14:textId="77777777" w:rsidR="007F4791" w:rsidRPr="00A25F2C" w:rsidRDefault="007F4791" w:rsidP="004E1FA1">
            <w:pPr>
              <w:pStyle w:val="TableBodyText"/>
            </w:pPr>
            <w:r w:rsidRPr="00A25F2C">
              <w:rPr>
                <w:b/>
              </w:rPr>
              <w:t>Total Operating Expenses</w:t>
            </w:r>
          </w:p>
        </w:tc>
        <w:tc>
          <w:tcPr>
            <w:tcW w:w="573" w:type="pct"/>
          </w:tcPr>
          <w:p w14:paraId="20E7C727" w14:textId="77777777" w:rsidR="007F4791" w:rsidRPr="00A25F2C" w:rsidRDefault="007F4791" w:rsidP="00F13D2F">
            <w:pPr>
              <w:pStyle w:val="TableBodyText"/>
              <w:jc w:val="right"/>
            </w:pPr>
            <w:r w:rsidRPr="00A25F2C">
              <w:rPr>
                <w:b/>
              </w:rPr>
              <w:t>1,210.2</w:t>
            </w:r>
          </w:p>
        </w:tc>
        <w:tc>
          <w:tcPr>
            <w:tcW w:w="573" w:type="pct"/>
          </w:tcPr>
          <w:p w14:paraId="76CFF536" w14:textId="77777777" w:rsidR="007F4791" w:rsidRPr="00A25F2C" w:rsidRDefault="007F4791" w:rsidP="00F13D2F">
            <w:pPr>
              <w:pStyle w:val="TableBodyText"/>
              <w:jc w:val="right"/>
            </w:pPr>
            <w:r w:rsidRPr="00A25F2C">
              <w:rPr>
                <w:b/>
              </w:rPr>
              <w:t>307.8</w:t>
            </w:r>
          </w:p>
        </w:tc>
        <w:tc>
          <w:tcPr>
            <w:tcW w:w="573" w:type="pct"/>
          </w:tcPr>
          <w:p w14:paraId="22FF14DA" w14:textId="77777777" w:rsidR="007F4791" w:rsidRPr="00A25F2C" w:rsidRDefault="007F4791" w:rsidP="00F13D2F">
            <w:pPr>
              <w:pStyle w:val="TableBodyText"/>
              <w:jc w:val="right"/>
            </w:pPr>
            <w:r w:rsidRPr="00A25F2C">
              <w:rPr>
                <w:b/>
              </w:rPr>
              <w:t>295.9</w:t>
            </w:r>
          </w:p>
        </w:tc>
        <w:tc>
          <w:tcPr>
            <w:tcW w:w="573" w:type="pct"/>
          </w:tcPr>
          <w:p w14:paraId="2ECFA8F7" w14:textId="77777777" w:rsidR="007F4791" w:rsidRPr="00A25F2C" w:rsidRDefault="007F4791" w:rsidP="00F13D2F">
            <w:pPr>
              <w:pStyle w:val="TableBodyText"/>
              <w:jc w:val="right"/>
            </w:pPr>
            <w:r w:rsidRPr="00A25F2C">
              <w:rPr>
                <w:b/>
              </w:rPr>
              <w:t>303.8</w:t>
            </w:r>
          </w:p>
        </w:tc>
        <w:tc>
          <w:tcPr>
            <w:tcW w:w="574" w:type="pct"/>
          </w:tcPr>
          <w:p w14:paraId="6F91E74A" w14:textId="77777777" w:rsidR="007F4791" w:rsidRPr="00A25F2C" w:rsidRDefault="007F4791" w:rsidP="00F13D2F">
            <w:pPr>
              <w:pStyle w:val="TableBodyText"/>
              <w:jc w:val="right"/>
              <w:rPr>
                <w:b/>
              </w:rPr>
            </w:pPr>
            <w:r w:rsidRPr="00A25F2C">
              <w:rPr>
                <w:b/>
              </w:rPr>
              <w:t>302.7</w:t>
            </w:r>
          </w:p>
        </w:tc>
      </w:tr>
      <w:tr w:rsidR="007F4791" w:rsidRPr="00A25F2C" w14:paraId="5BB19A9E" w14:textId="77777777" w:rsidTr="00BA3F27">
        <w:tc>
          <w:tcPr>
            <w:tcW w:w="2134" w:type="pct"/>
          </w:tcPr>
          <w:p w14:paraId="30201A11" w14:textId="77777777" w:rsidR="007F4791" w:rsidRPr="00A25F2C" w:rsidRDefault="007F4791" w:rsidP="004E1FA1">
            <w:pPr>
              <w:pStyle w:val="TableBodyText"/>
            </w:pPr>
            <w:r w:rsidRPr="00A25F2C">
              <w:rPr>
                <w:b/>
              </w:rPr>
              <w:t>EBIT</w:t>
            </w:r>
          </w:p>
        </w:tc>
        <w:tc>
          <w:tcPr>
            <w:tcW w:w="573" w:type="pct"/>
          </w:tcPr>
          <w:p w14:paraId="5A94DBFC" w14:textId="77777777" w:rsidR="007F4791" w:rsidRPr="00A25F2C" w:rsidRDefault="007F4791" w:rsidP="00F13D2F">
            <w:pPr>
              <w:pStyle w:val="TableBodyText"/>
              <w:jc w:val="right"/>
            </w:pPr>
            <w:r w:rsidRPr="00A25F2C">
              <w:rPr>
                <w:b/>
              </w:rPr>
              <w:t>797.1</w:t>
            </w:r>
          </w:p>
        </w:tc>
        <w:tc>
          <w:tcPr>
            <w:tcW w:w="573" w:type="pct"/>
          </w:tcPr>
          <w:p w14:paraId="1BC83C46" w14:textId="77777777" w:rsidR="007F4791" w:rsidRPr="00A25F2C" w:rsidRDefault="007F4791" w:rsidP="00F13D2F">
            <w:pPr>
              <w:pStyle w:val="TableBodyText"/>
              <w:jc w:val="right"/>
            </w:pPr>
            <w:r w:rsidRPr="00A25F2C">
              <w:rPr>
                <w:b/>
              </w:rPr>
              <w:t>191.9</w:t>
            </w:r>
          </w:p>
        </w:tc>
        <w:tc>
          <w:tcPr>
            <w:tcW w:w="573" w:type="pct"/>
          </w:tcPr>
          <w:p w14:paraId="6BBD0838" w14:textId="77777777" w:rsidR="007F4791" w:rsidRPr="00A25F2C" w:rsidRDefault="007F4791" w:rsidP="00F13D2F">
            <w:pPr>
              <w:pStyle w:val="TableBodyText"/>
              <w:jc w:val="right"/>
            </w:pPr>
            <w:r w:rsidRPr="00A25F2C">
              <w:rPr>
                <w:b/>
              </w:rPr>
              <w:t>202.9</w:t>
            </w:r>
          </w:p>
        </w:tc>
        <w:tc>
          <w:tcPr>
            <w:tcW w:w="573" w:type="pct"/>
          </w:tcPr>
          <w:p w14:paraId="4DF12E6D" w14:textId="77777777" w:rsidR="007F4791" w:rsidRPr="00A25F2C" w:rsidRDefault="007F4791" w:rsidP="00F13D2F">
            <w:pPr>
              <w:pStyle w:val="TableBodyText"/>
              <w:jc w:val="right"/>
            </w:pPr>
            <w:r w:rsidRPr="00A25F2C">
              <w:rPr>
                <w:b/>
              </w:rPr>
              <w:t>203.3</w:t>
            </w:r>
          </w:p>
        </w:tc>
        <w:tc>
          <w:tcPr>
            <w:tcW w:w="574" w:type="pct"/>
          </w:tcPr>
          <w:p w14:paraId="388EDC99" w14:textId="77777777" w:rsidR="007F4791" w:rsidRPr="00A25F2C" w:rsidRDefault="007F4791" w:rsidP="00F13D2F">
            <w:pPr>
              <w:pStyle w:val="TableBodyText"/>
              <w:jc w:val="right"/>
              <w:rPr>
                <w:b/>
              </w:rPr>
            </w:pPr>
            <w:r w:rsidRPr="00A25F2C">
              <w:rPr>
                <w:b/>
              </w:rPr>
              <w:t>199.0</w:t>
            </w:r>
          </w:p>
        </w:tc>
      </w:tr>
      <w:tr w:rsidR="007F4791" w:rsidRPr="00A25F2C" w14:paraId="2A9DA3B8" w14:textId="77777777" w:rsidTr="00BA3F27">
        <w:tc>
          <w:tcPr>
            <w:tcW w:w="2134" w:type="pct"/>
          </w:tcPr>
          <w:p w14:paraId="478592B7" w14:textId="77777777" w:rsidR="007F4791" w:rsidRPr="00A25F2C" w:rsidRDefault="007F4791" w:rsidP="004E1FA1">
            <w:pPr>
              <w:pStyle w:val="TableBodyText"/>
            </w:pPr>
            <w:r w:rsidRPr="00A25F2C">
              <w:t>Finance Charges</w:t>
            </w:r>
          </w:p>
        </w:tc>
        <w:tc>
          <w:tcPr>
            <w:tcW w:w="573" w:type="pct"/>
          </w:tcPr>
          <w:p w14:paraId="6A5A3EDC" w14:textId="77777777" w:rsidR="007F4791" w:rsidRPr="00A25F2C" w:rsidRDefault="007F4791" w:rsidP="00F13D2F">
            <w:pPr>
              <w:pStyle w:val="TableBodyText"/>
              <w:jc w:val="right"/>
            </w:pPr>
            <w:r w:rsidRPr="00A25F2C">
              <w:t>585.6</w:t>
            </w:r>
          </w:p>
        </w:tc>
        <w:tc>
          <w:tcPr>
            <w:tcW w:w="573" w:type="pct"/>
          </w:tcPr>
          <w:p w14:paraId="232A6999" w14:textId="77777777" w:rsidR="007F4791" w:rsidRPr="00A25F2C" w:rsidRDefault="007F4791" w:rsidP="00F13D2F">
            <w:pPr>
              <w:pStyle w:val="TableBodyText"/>
              <w:jc w:val="right"/>
            </w:pPr>
            <w:r w:rsidRPr="00A25F2C">
              <w:t>142.9</w:t>
            </w:r>
          </w:p>
        </w:tc>
        <w:tc>
          <w:tcPr>
            <w:tcW w:w="573" w:type="pct"/>
          </w:tcPr>
          <w:p w14:paraId="2D21C6BC" w14:textId="77777777" w:rsidR="007F4791" w:rsidRPr="00A25F2C" w:rsidRDefault="007F4791" w:rsidP="00F13D2F">
            <w:pPr>
              <w:pStyle w:val="TableBodyText"/>
              <w:jc w:val="right"/>
            </w:pPr>
            <w:r w:rsidRPr="00A25F2C">
              <w:t>145.4</w:t>
            </w:r>
          </w:p>
        </w:tc>
        <w:tc>
          <w:tcPr>
            <w:tcW w:w="573" w:type="pct"/>
          </w:tcPr>
          <w:p w14:paraId="03D1DDF6" w14:textId="77777777" w:rsidR="007F4791" w:rsidRPr="00A25F2C" w:rsidRDefault="007F4791" w:rsidP="00F13D2F">
            <w:pPr>
              <w:pStyle w:val="TableBodyText"/>
              <w:jc w:val="right"/>
            </w:pPr>
            <w:r w:rsidRPr="00A25F2C">
              <w:t>147.2</w:t>
            </w:r>
          </w:p>
        </w:tc>
        <w:tc>
          <w:tcPr>
            <w:tcW w:w="574" w:type="pct"/>
          </w:tcPr>
          <w:p w14:paraId="253CDAAB" w14:textId="77777777" w:rsidR="007F4791" w:rsidRPr="00A25F2C" w:rsidRDefault="007F4791" w:rsidP="00F13D2F">
            <w:pPr>
              <w:pStyle w:val="TableBodyText"/>
              <w:jc w:val="right"/>
            </w:pPr>
            <w:r w:rsidRPr="00A25F2C">
              <w:t>150.1</w:t>
            </w:r>
          </w:p>
        </w:tc>
      </w:tr>
      <w:tr w:rsidR="007F4791" w:rsidRPr="00A25F2C" w14:paraId="2B210C9E" w14:textId="77777777" w:rsidTr="00BA3F27">
        <w:tc>
          <w:tcPr>
            <w:tcW w:w="2134" w:type="pct"/>
          </w:tcPr>
          <w:p w14:paraId="7C9E9C43" w14:textId="77777777" w:rsidR="007F4791" w:rsidRPr="00A25F2C" w:rsidRDefault="007F4791" w:rsidP="004E1FA1">
            <w:pPr>
              <w:pStyle w:val="TableBodyText"/>
            </w:pPr>
            <w:r w:rsidRPr="00A25F2C">
              <w:rPr>
                <w:b/>
              </w:rPr>
              <w:t>NPBT / (NLBT)</w:t>
            </w:r>
          </w:p>
        </w:tc>
        <w:tc>
          <w:tcPr>
            <w:tcW w:w="573" w:type="pct"/>
          </w:tcPr>
          <w:p w14:paraId="6BDDAF0C" w14:textId="77777777" w:rsidR="007F4791" w:rsidRPr="00A25F2C" w:rsidRDefault="007F4791" w:rsidP="00F13D2F">
            <w:pPr>
              <w:pStyle w:val="TableBodyText"/>
              <w:jc w:val="right"/>
            </w:pPr>
            <w:r w:rsidRPr="00A25F2C">
              <w:rPr>
                <w:b/>
              </w:rPr>
              <w:t>211.5</w:t>
            </w:r>
          </w:p>
        </w:tc>
        <w:tc>
          <w:tcPr>
            <w:tcW w:w="573" w:type="pct"/>
          </w:tcPr>
          <w:p w14:paraId="3291512D" w14:textId="77777777" w:rsidR="007F4791" w:rsidRPr="00A25F2C" w:rsidRDefault="007F4791" w:rsidP="00F13D2F">
            <w:pPr>
              <w:pStyle w:val="TableBodyText"/>
              <w:jc w:val="right"/>
            </w:pPr>
            <w:r w:rsidRPr="00A25F2C">
              <w:rPr>
                <w:b/>
              </w:rPr>
              <w:t>49.0</w:t>
            </w:r>
          </w:p>
        </w:tc>
        <w:tc>
          <w:tcPr>
            <w:tcW w:w="573" w:type="pct"/>
          </w:tcPr>
          <w:p w14:paraId="0BE401E5" w14:textId="77777777" w:rsidR="007F4791" w:rsidRPr="00A25F2C" w:rsidRDefault="007F4791" w:rsidP="00F13D2F">
            <w:pPr>
              <w:pStyle w:val="TableBodyText"/>
              <w:jc w:val="right"/>
            </w:pPr>
            <w:r w:rsidRPr="00A25F2C">
              <w:rPr>
                <w:b/>
              </w:rPr>
              <w:t>57.5</w:t>
            </w:r>
          </w:p>
        </w:tc>
        <w:tc>
          <w:tcPr>
            <w:tcW w:w="573" w:type="pct"/>
          </w:tcPr>
          <w:p w14:paraId="452959CD" w14:textId="77777777" w:rsidR="007F4791" w:rsidRPr="00A25F2C" w:rsidRDefault="007F4791" w:rsidP="00F13D2F">
            <w:pPr>
              <w:pStyle w:val="TableBodyText"/>
              <w:jc w:val="right"/>
            </w:pPr>
            <w:r w:rsidRPr="00A25F2C">
              <w:rPr>
                <w:b/>
              </w:rPr>
              <w:t>56.1</w:t>
            </w:r>
          </w:p>
        </w:tc>
        <w:tc>
          <w:tcPr>
            <w:tcW w:w="574" w:type="pct"/>
          </w:tcPr>
          <w:p w14:paraId="5E66DC5F" w14:textId="77777777" w:rsidR="007F4791" w:rsidRPr="00A25F2C" w:rsidRDefault="007F4791" w:rsidP="00F13D2F">
            <w:pPr>
              <w:pStyle w:val="TableBodyText"/>
              <w:jc w:val="right"/>
              <w:rPr>
                <w:b/>
              </w:rPr>
            </w:pPr>
            <w:r w:rsidRPr="00A25F2C">
              <w:rPr>
                <w:b/>
              </w:rPr>
              <w:t>48.9</w:t>
            </w:r>
          </w:p>
        </w:tc>
      </w:tr>
      <w:tr w:rsidR="007F4791" w:rsidRPr="00A25F2C" w14:paraId="55C2AF41" w14:textId="77777777" w:rsidTr="00BA3F27">
        <w:tc>
          <w:tcPr>
            <w:tcW w:w="2134" w:type="pct"/>
          </w:tcPr>
          <w:p w14:paraId="2DEDD6A7" w14:textId="77777777" w:rsidR="007F4791" w:rsidRPr="00A25F2C" w:rsidRDefault="007F4791" w:rsidP="004E1FA1">
            <w:pPr>
              <w:pStyle w:val="TableBodyText"/>
            </w:pPr>
            <w:r w:rsidRPr="00A25F2C">
              <w:t>Tax Expense/(Benefit)</w:t>
            </w:r>
          </w:p>
        </w:tc>
        <w:tc>
          <w:tcPr>
            <w:tcW w:w="573" w:type="pct"/>
          </w:tcPr>
          <w:p w14:paraId="18508290" w14:textId="77777777" w:rsidR="007F4791" w:rsidRPr="00A25F2C" w:rsidRDefault="007F4791" w:rsidP="00F13D2F">
            <w:pPr>
              <w:pStyle w:val="TableBodyText"/>
              <w:jc w:val="right"/>
            </w:pPr>
            <w:r w:rsidRPr="00A25F2C">
              <w:t>87.3</w:t>
            </w:r>
          </w:p>
        </w:tc>
        <w:tc>
          <w:tcPr>
            <w:tcW w:w="573" w:type="pct"/>
          </w:tcPr>
          <w:p w14:paraId="63AD8323" w14:textId="77777777" w:rsidR="007F4791" w:rsidRPr="00A25F2C" w:rsidRDefault="007F4791" w:rsidP="00F13D2F">
            <w:pPr>
              <w:pStyle w:val="TableBodyText"/>
              <w:jc w:val="right"/>
            </w:pPr>
            <w:r w:rsidRPr="00A25F2C">
              <w:t>20.6</w:t>
            </w:r>
          </w:p>
        </w:tc>
        <w:tc>
          <w:tcPr>
            <w:tcW w:w="573" w:type="pct"/>
          </w:tcPr>
          <w:p w14:paraId="128CB1BB" w14:textId="77777777" w:rsidR="007F4791" w:rsidRPr="00A25F2C" w:rsidRDefault="007F4791" w:rsidP="00F13D2F">
            <w:pPr>
              <w:pStyle w:val="TableBodyText"/>
              <w:jc w:val="right"/>
            </w:pPr>
            <w:r w:rsidRPr="00A25F2C">
              <w:t>23.2</w:t>
            </w:r>
          </w:p>
        </w:tc>
        <w:tc>
          <w:tcPr>
            <w:tcW w:w="573" w:type="pct"/>
          </w:tcPr>
          <w:p w14:paraId="3A8B0882" w14:textId="77777777" w:rsidR="007F4791" w:rsidRPr="00A25F2C" w:rsidRDefault="007F4791" w:rsidP="00F13D2F">
            <w:pPr>
              <w:pStyle w:val="TableBodyText"/>
              <w:jc w:val="right"/>
            </w:pPr>
            <w:r w:rsidRPr="00A25F2C">
              <w:t>22.8</w:t>
            </w:r>
          </w:p>
        </w:tc>
        <w:tc>
          <w:tcPr>
            <w:tcW w:w="574" w:type="pct"/>
          </w:tcPr>
          <w:p w14:paraId="02D23833" w14:textId="77777777" w:rsidR="007F4791" w:rsidRPr="00A25F2C" w:rsidRDefault="007F4791" w:rsidP="00F13D2F">
            <w:pPr>
              <w:pStyle w:val="TableBodyText"/>
              <w:jc w:val="right"/>
            </w:pPr>
            <w:r w:rsidRPr="00A25F2C">
              <w:t>20.7</w:t>
            </w:r>
          </w:p>
        </w:tc>
      </w:tr>
      <w:tr w:rsidR="007F4791" w:rsidRPr="00A25F2C" w14:paraId="080AB7BE" w14:textId="77777777" w:rsidTr="00BA3F27">
        <w:tc>
          <w:tcPr>
            <w:tcW w:w="2134" w:type="pct"/>
          </w:tcPr>
          <w:p w14:paraId="28CA2955" w14:textId="77777777" w:rsidR="007F4791" w:rsidRPr="00A25F2C" w:rsidRDefault="007F4791" w:rsidP="004E1FA1">
            <w:pPr>
              <w:pStyle w:val="TableBodyText"/>
            </w:pPr>
            <w:r w:rsidRPr="00A25F2C">
              <w:rPr>
                <w:b/>
              </w:rPr>
              <w:t>NPAT / (NLAT)</w:t>
            </w:r>
          </w:p>
        </w:tc>
        <w:tc>
          <w:tcPr>
            <w:tcW w:w="573" w:type="pct"/>
          </w:tcPr>
          <w:p w14:paraId="6EA06EC1" w14:textId="77777777" w:rsidR="007F4791" w:rsidRPr="00A25F2C" w:rsidRDefault="007F4791" w:rsidP="00F13D2F">
            <w:pPr>
              <w:pStyle w:val="TableBodyText"/>
              <w:jc w:val="right"/>
            </w:pPr>
            <w:r w:rsidRPr="00A25F2C">
              <w:rPr>
                <w:b/>
              </w:rPr>
              <w:t>124.2</w:t>
            </w:r>
          </w:p>
        </w:tc>
        <w:tc>
          <w:tcPr>
            <w:tcW w:w="573" w:type="pct"/>
          </w:tcPr>
          <w:p w14:paraId="1BC5C9E4" w14:textId="77777777" w:rsidR="007F4791" w:rsidRPr="00A25F2C" w:rsidRDefault="007F4791" w:rsidP="00F13D2F">
            <w:pPr>
              <w:pStyle w:val="TableBodyText"/>
              <w:jc w:val="right"/>
            </w:pPr>
            <w:r w:rsidRPr="00A25F2C">
              <w:rPr>
                <w:b/>
              </w:rPr>
              <w:t>28.4</w:t>
            </w:r>
          </w:p>
        </w:tc>
        <w:tc>
          <w:tcPr>
            <w:tcW w:w="573" w:type="pct"/>
          </w:tcPr>
          <w:p w14:paraId="0DDEF956" w14:textId="77777777" w:rsidR="007F4791" w:rsidRPr="00A25F2C" w:rsidRDefault="007F4791" w:rsidP="00F13D2F">
            <w:pPr>
              <w:pStyle w:val="TableBodyText"/>
              <w:jc w:val="right"/>
            </w:pPr>
            <w:r w:rsidRPr="00A25F2C">
              <w:rPr>
                <w:b/>
              </w:rPr>
              <w:t>34.3</w:t>
            </w:r>
          </w:p>
        </w:tc>
        <w:tc>
          <w:tcPr>
            <w:tcW w:w="573" w:type="pct"/>
          </w:tcPr>
          <w:p w14:paraId="3E1012FD" w14:textId="77777777" w:rsidR="007F4791" w:rsidRPr="00A25F2C" w:rsidRDefault="007F4791" w:rsidP="00F13D2F">
            <w:pPr>
              <w:pStyle w:val="TableBodyText"/>
              <w:jc w:val="right"/>
            </w:pPr>
            <w:r w:rsidRPr="00A25F2C">
              <w:rPr>
                <w:b/>
              </w:rPr>
              <w:t>33.3</w:t>
            </w:r>
          </w:p>
        </w:tc>
        <w:tc>
          <w:tcPr>
            <w:tcW w:w="574" w:type="pct"/>
          </w:tcPr>
          <w:p w14:paraId="09B536FA" w14:textId="77777777" w:rsidR="007F4791" w:rsidRPr="00A25F2C" w:rsidRDefault="007F4791" w:rsidP="00F13D2F">
            <w:pPr>
              <w:pStyle w:val="TableBodyText"/>
              <w:jc w:val="right"/>
              <w:rPr>
                <w:b/>
              </w:rPr>
            </w:pPr>
            <w:r w:rsidRPr="00A25F2C">
              <w:rPr>
                <w:b/>
              </w:rPr>
              <w:t>28.2</w:t>
            </w:r>
          </w:p>
        </w:tc>
      </w:tr>
      <w:tr w:rsidR="007F4791" w:rsidRPr="00A25F2C" w14:paraId="5C19C7A2" w14:textId="77777777" w:rsidTr="00BA3F27">
        <w:tc>
          <w:tcPr>
            <w:tcW w:w="2134" w:type="pct"/>
          </w:tcPr>
          <w:p w14:paraId="1E3799DD" w14:textId="77777777" w:rsidR="007F4791" w:rsidRPr="00A25F2C" w:rsidRDefault="007F4791" w:rsidP="004E1FA1">
            <w:pPr>
              <w:pStyle w:val="TableBodyText"/>
            </w:pPr>
            <w:r w:rsidRPr="00A25F2C">
              <w:t>Indicative Dividend</w:t>
            </w:r>
          </w:p>
        </w:tc>
        <w:tc>
          <w:tcPr>
            <w:tcW w:w="573" w:type="pct"/>
          </w:tcPr>
          <w:p w14:paraId="561682B5" w14:textId="77777777" w:rsidR="007F4791" w:rsidRPr="00A25F2C" w:rsidRDefault="007F4791" w:rsidP="00F13D2F">
            <w:pPr>
              <w:pStyle w:val="TableBodyText"/>
              <w:jc w:val="right"/>
            </w:pPr>
            <w:r w:rsidRPr="00A25F2C">
              <w:t>7.3</w:t>
            </w:r>
          </w:p>
        </w:tc>
        <w:tc>
          <w:tcPr>
            <w:tcW w:w="573" w:type="pct"/>
          </w:tcPr>
          <w:p w14:paraId="38A14846" w14:textId="77777777" w:rsidR="007F4791" w:rsidRPr="00A25F2C" w:rsidRDefault="007F4791" w:rsidP="00F13D2F">
            <w:pPr>
              <w:pStyle w:val="TableBodyText"/>
              <w:jc w:val="right"/>
            </w:pPr>
            <w:r w:rsidRPr="00A25F2C">
              <w:t>0.0</w:t>
            </w:r>
          </w:p>
        </w:tc>
        <w:tc>
          <w:tcPr>
            <w:tcW w:w="573" w:type="pct"/>
          </w:tcPr>
          <w:p w14:paraId="1E5E7C33" w14:textId="77777777" w:rsidR="007F4791" w:rsidRPr="00A25F2C" w:rsidRDefault="007F4791" w:rsidP="00F13D2F">
            <w:pPr>
              <w:pStyle w:val="TableBodyText"/>
              <w:jc w:val="right"/>
            </w:pPr>
            <w:r w:rsidRPr="00A25F2C">
              <w:t>0.0</w:t>
            </w:r>
          </w:p>
        </w:tc>
        <w:tc>
          <w:tcPr>
            <w:tcW w:w="573" w:type="pct"/>
          </w:tcPr>
          <w:p w14:paraId="29CF710B" w14:textId="77777777" w:rsidR="007F4791" w:rsidRPr="00A25F2C" w:rsidRDefault="007F4791" w:rsidP="00F13D2F">
            <w:pPr>
              <w:pStyle w:val="TableBodyText"/>
              <w:jc w:val="right"/>
            </w:pPr>
            <w:r w:rsidRPr="00A25F2C">
              <w:t>0.0</w:t>
            </w:r>
          </w:p>
        </w:tc>
        <w:tc>
          <w:tcPr>
            <w:tcW w:w="574" w:type="pct"/>
          </w:tcPr>
          <w:p w14:paraId="16307589" w14:textId="77777777" w:rsidR="007F4791" w:rsidRPr="00A25F2C" w:rsidRDefault="007F4791" w:rsidP="00F13D2F">
            <w:pPr>
              <w:pStyle w:val="TableBodyText"/>
              <w:jc w:val="right"/>
            </w:pPr>
            <w:r w:rsidRPr="00A25F2C">
              <w:t>7.3</w:t>
            </w:r>
          </w:p>
        </w:tc>
      </w:tr>
      <w:tr w:rsidR="007F4791" w:rsidRPr="00A25F2C" w14:paraId="20F2BBF6" w14:textId="77777777" w:rsidTr="00BA3F27">
        <w:tc>
          <w:tcPr>
            <w:tcW w:w="2134" w:type="pct"/>
          </w:tcPr>
          <w:p w14:paraId="640C7AE6" w14:textId="77777777" w:rsidR="007F4791" w:rsidRPr="00A25F2C" w:rsidRDefault="007F4791" w:rsidP="004E1FA1">
            <w:pPr>
              <w:pStyle w:val="TableBodyText"/>
            </w:pPr>
            <w:r w:rsidRPr="00A25F2C">
              <w:rPr>
                <w:b/>
              </w:rPr>
              <w:t>Amount Transferred to/(from) Equity</w:t>
            </w:r>
          </w:p>
        </w:tc>
        <w:tc>
          <w:tcPr>
            <w:tcW w:w="573" w:type="pct"/>
          </w:tcPr>
          <w:p w14:paraId="4DD3BCB8" w14:textId="77777777" w:rsidR="007F4791" w:rsidRPr="00A25F2C" w:rsidRDefault="007F4791" w:rsidP="00F13D2F">
            <w:pPr>
              <w:pStyle w:val="TableBodyText"/>
              <w:jc w:val="right"/>
            </w:pPr>
            <w:r w:rsidRPr="00A25F2C">
              <w:rPr>
                <w:b/>
              </w:rPr>
              <w:t>116.9</w:t>
            </w:r>
          </w:p>
        </w:tc>
        <w:tc>
          <w:tcPr>
            <w:tcW w:w="573" w:type="pct"/>
          </w:tcPr>
          <w:p w14:paraId="4EFBBFA7" w14:textId="77777777" w:rsidR="007F4791" w:rsidRPr="00A25F2C" w:rsidRDefault="007F4791" w:rsidP="00F13D2F">
            <w:pPr>
              <w:pStyle w:val="TableBodyText"/>
              <w:jc w:val="right"/>
            </w:pPr>
            <w:r w:rsidRPr="00A25F2C">
              <w:rPr>
                <w:b/>
              </w:rPr>
              <w:t>28.4</w:t>
            </w:r>
          </w:p>
        </w:tc>
        <w:tc>
          <w:tcPr>
            <w:tcW w:w="573" w:type="pct"/>
          </w:tcPr>
          <w:p w14:paraId="2AF43738" w14:textId="77777777" w:rsidR="007F4791" w:rsidRPr="00A25F2C" w:rsidRDefault="007F4791" w:rsidP="00F13D2F">
            <w:pPr>
              <w:pStyle w:val="TableBodyText"/>
              <w:jc w:val="right"/>
            </w:pPr>
            <w:r w:rsidRPr="00A25F2C">
              <w:rPr>
                <w:b/>
              </w:rPr>
              <w:t>34.3</w:t>
            </w:r>
          </w:p>
        </w:tc>
        <w:tc>
          <w:tcPr>
            <w:tcW w:w="573" w:type="pct"/>
          </w:tcPr>
          <w:p w14:paraId="75F7391B" w14:textId="77777777" w:rsidR="007F4791" w:rsidRPr="00A25F2C" w:rsidRDefault="007F4791" w:rsidP="00F13D2F">
            <w:pPr>
              <w:pStyle w:val="TableBodyText"/>
              <w:jc w:val="right"/>
            </w:pPr>
            <w:r w:rsidRPr="00A25F2C">
              <w:rPr>
                <w:b/>
              </w:rPr>
              <w:t>33.3</w:t>
            </w:r>
          </w:p>
        </w:tc>
        <w:tc>
          <w:tcPr>
            <w:tcW w:w="574" w:type="pct"/>
          </w:tcPr>
          <w:p w14:paraId="2856B1E1" w14:textId="77777777" w:rsidR="007F4791" w:rsidRPr="00A25F2C" w:rsidRDefault="007F4791" w:rsidP="00F13D2F">
            <w:pPr>
              <w:pStyle w:val="TableBodyText"/>
              <w:jc w:val="right"/>
              <w:rPr>
                <w:b/>
              </w:rPr>
            </w:pPr>
            <w:r w:rsidRPr="00A25F2C">
              <w:rPr>
                <w:b/>
              </w:rPr>
              <w:t>20.9</w:t>
            </w:r>
          </w:p>
        </w:tc>
      </w:tr>
    </w:tbl>
    <w:p w14:paraId="32F8CF68" w14:textId="6CF220F1" w:rsidR="00143D6B" w:rsidRDefault="007F4791" w:rsidP="007F4791">
      <w:pPr>
        <w:pStyle w:val="BodyText"/>
      </w:pPr>
      <w:r w:rsidRPr="00A25F2C">
        <w:t>All tables subject to rounding</w:t>
      </w:r>
    </w:p>
    <w:p w14:paraId="4464E533" w14:textId="1BCA3F0D" w:rsidR="007F4791" w:rsidRPr="00A25F2C" w:rsidRDefault="0086694E" w:rsidP="0086694E">
      <w:pPr>
        <w:pStyle w:val="Caption"/>
      </w:pPr>
      <w:r w:rsidRPr="0086694E">
        <w:t>Table E13 – Balance Sheet 2023-24 quarterly phasing</w:t>
      </w:r>
    </w:p>
    <w:tbl>
      <w:tblPr>
        <w:tblStyle w:val="TableProfessional"/>
        <w:tblW w:w="5000" w:type="pct"/>
        <w:tblLook w:val="0620" w:firstRow="1" w:lastRow="0" w:firstColumn="0" w:lastColumn="0" w:noHBand="1" w:noVBand="1"/>
      </w:tblPr>
      <w:tblGrid>
        <w:gridCol w:w="4092"/>
        <w:gridCol w:w="1107"/>
        <w:gridCol w:w="1108"/>
        <w:gridCol w:w="1108"/>
        <w:gridCol w:w="1108"/>
        <w:gridCol w:w="1108"/>
      </w:tblGrid>
      <w:tr w:rsidR="00143D6B" w:rsidRPr="00A25F2C" w14:paraId="188DE826" w14:textId="77777777" w:rsidTr="00BA3F27">
        <w:trPr>
          <w:cnfStyle w:val="100000000000" w:firstRow="1" w:lastRow="0" w:firstColumn="0" w:lastColumn="0" w:oddVBand="0" w:evenVBand="0" w:oddHBand="0" w:evenHBand="0" w:firstRowFirstColumn="0" w:firstRowLastColumn="0" w:lastRowFirstColumn="0" w:lastRowLastColumn="0"/>
        </w:trPr>
        <w:tc>
          <w:tcPr>
            <w:tcW w:w="2125" w:type="pct"/>
          </w:tcPr>
          <w:p w14:paraId="6DB9B4FC" w14:textId="069DE410" w:rsidR="007F4791" w:rsidRPr="00A25F2C" w:rsidRDefault="007F4791" w:rsidP="004E1FA1">
            <w:pPr>
              <w:pStyle w:val="TableBodyText"/>
            </w:pPr>
            <w:r w:rsidRPr="00A25F2C">
              <w:t xml:space="preserve">Nominal </w:t>
            </w:r>
            <w:r w:rsidR="00E65500">
              <w:t>$ million</w:t>
            </w:r>
          </w:p>
        </w:tc>
        <w:tc>
          <w:tcPr>
            <w:tcW w:w="575" w:type="pct"/>
          </w:tcPr>
          <w:p w14:paraId="08611120" w14:textId="77777777" w:rsidR="007F4791" w:rsidRPr="00A25F2C" w:rsidRDefault="007F4791" w:rsidP="00F13D2F">
            <w:pPr>
              <w:pStyle w:val="TableBodyText"/>
              <w:jc w:val="right"/>
            </w:pPr>
            <w:r w:rsidRPr="00A25F2C">
              <w:t>2023-24</w:t>
            </w:r>
          </w:p>
          <w:p w14:paraId="0EDAA98E" w14:textId="77777777" w:rsidR="007F4791" w:rsidRPr="00A25F2C" w:rsidRDefault="007F4791" w:rsidP="00F13D2F">
            <w:pPr>
              <w:pStyle w:val="TableBodyText"/>
              <w:jc w:val="right"/>
            </w:pPr>
            <w:r w:rsidRPr="00A25F2C">
              <w:t>PLAN</w:t>
            </w:r>
          </w:p>
        </w:tc>
        <w:tc>
          <w:tcPr>
            <w:tcW w:w="575" w:type="pct"/>
          </w:tcPr>
          <w:p w14:paraId="75A77783" w14:textId="77777777" w:rsidR="007F4791" w:rsidRPr="00A25F2C" w:rsidRDefault="007F4791" w:rsidP="00F13D2F">
            <w:pPr>
              <w:pStyle w:val="TableBodyText"/>
              <w:jc w:val="right"/>
            </w:pPr>
            <w:r w:rsidRPr="00A25F2C">
              <w:t>Q1 PLAN</w:t>
            </w:r>
          </w:p>
        </w:tc>
        <w:tc>
          <w:tcPr>
            <w:tcW w:w="575" w:type="pct"/>
          </w:tcPr>
          <w:p w14:paraId="34A0CF02" w14:textId="77777777" w:rsidR="007F4791" w:rsidRPr="00A25F2C" w:rsidRDefault="007F4791" w:rsidP="00F13D2F">
            <w:pPr>
              <w:pStyle w:val="TableBodyText"/>
              <w:jc w:val="right"/>
            </w:pPr>
            <w:r w:rsidRPr="00A25F2C">
              <w:t>Q2 PLAN</w:t>
            </w:r>
          </w:p>
        </w:tc>
        <w:tc>
          <w:tcPr>
            <w:tcW w:w="575" w:type="pct"/>
          </w:tcPr>
          <w:p w14:paraId="1832414B" w14:textId="77777777" w:rsidR="007F4791" w:rsidRPr="00A25F2C" w:rsidRDefault="007F4791" w:rsidP="00F13D2F">
            <w:pPr>
              <w:pStyle w:val="TableBodyText"/>
              <w:jc w:val="right"/>
            </w:pPr>
            <w:r w:rsidRPr="00A25F2C">
              <w:t>Q3 PLAN</w:t>
            </w:r>
          </w:p>
        </w:tc>
        <w:tc>
          <w:tcPr>
            <w:tcW w:w="575" w:type="pct"/>
          </w:tcPr>
          <w:p w14:paraId="5AFF8B3F" w14:textId="77777777" w:rsidR="007F4791" w:rsidRPr="00A25F2C" w:rsidRDefault="007F4791" w:rsidP="00F13D2F">
            <w:pPr>
              <w:pStyle w:val="TableBodyText"/>
              <w:jc w:val="right"/>
            </w:pPr>
            <w:r w:rsidRPr="00A25F2C">
              <w:t>Q4 PLAN</w:t>
            </w:r>
          </w:p>
        </w:tc>
      </w:tr>
      <w:tr w:rsidR="00143D6B" w:rsidRPr="00A25F2C" w14:paraId="50AE5E71" w14:textId="77777777" w:rsidTr="00BA3F27">
        <w:tc>
          <w:tcPr>
            <w:tcW w:w="2125" w:type="pct"/>
          </w:tcPr>
          <w:p w14:paraId="170FC1BD" w14:textId="77777777" w:rsidR="007F4791" w:rsidRPr="00A25F2C" w:rsidRDefault="007F4791" w:rsidP="004E1FA1">
            <w:pPr>
              <w:pStyle w:val="TableBodyText"/>
              <w:rPr>
                <w:b/>
              </w:rPr>
            </w:pPr>
            <w:r w:rsidRPr="00A25F2C">
              <w:rPr>
                <w:b/>
              </w:rPr>
              <w:t>Current Assets</w:t>
            </w:r>
          </w:p>
        </w:tc>
        <w:tc>
          <w:tcPr>
            <w:tcW w:w="575" w:type="pct"/>
          </w:tcPr>
          <w:p w14:paraId="52883185" w14:textId="10EC18E1" w:rsidR="007F4791" w:rsidRPr="00A25F2C" w:rsidRDefault="00995D31" w:rsidP="00F13D2F">
            <w:pPr>
              <w:spacing w:before="0" w:after="0"/>
              <w:jc w:val="right"/>
            </w:pPr>
            <w:r>
              <w:t>N/A</w:t>
            </w:r>
          </w:p>
        </w:tc>
        <w:tc>
          <w:tcPr>
            <w:tcW w:w="575" w:type="pct"/>
          </w:tcPr>
          <w:p w14:paraId="4DE0AE8E" w14:textId="60494B5D" w:rsidR="007F4791" w:rsidRPr="00A25F2C" w:rsidRDefault="00995D31" w:rsidP="00F13D2F">
            <w:pPr>
              <w:spacing w:before="0" w:after="0"/>
              <w:jc w:val="right"/>
            </w:pPr>
            <w:r>
              <w:t>N/A</w:t>
            </w:r>
          </w:p>
        </w:tc>
        <w:tc>
          <w:tcPr>
            <w:tcW w:w="575" w:type="pct"/>
          </w:tcPr>
          <w:p w14:paraId="3F95655D" w14:textId="1A7AFE76" w:rsidR="007F4791" w:rsidRPr="00A25F2C" w:rsidRDefault="00995D31" w:rsidP="00F13D2F">
            <w:pPr>
              <w:spacing w:before="0" w:after="0"/>
              <w:jc w:val="right"/>
            </w:pPr>
            <w:r>
              <w:t>N/A</w:t>
            </w:r>
          </w:p>
        </w:tc>
        <w:tc>
          <w:tcPr>
            <w:tcW w:w="575" w:type="pct"/>
          </w:tcPr>
          <w:p w14:paraId="615E6A37" w14:textId="134DF80E" w:rsidR="007F4791" w:rsidRPr="00A25F2C" w:rsidRDefault="00995D31" w:rsidP="00F13D2F">
            <w:pPr>
              <w:spacing w:before="0" w:after="0"/>
              <w:jc w:val="right"/>
            </w:pPr>
            <w:r>
              <w:t>N/A</w:t>
            </w:r>
          </w:p>
        </w:tc>
        <w:tc>
          <w:tcPr>
            <w:tcW w:w="575" w:type="pct"/>
          </w:tcPr>
          <w:p w14:paraId="7E1D9A1E" w14:textId="644DA0A2" w:rsidR="007F4791" w:rsidRPr="00A25F2C" w:rsidRDefault="00995D31" w:rsidP="00F13D2F">
            <w:pPr>
              <w:pStyle w:val="TableBodyText"/>
              <w:jc w:val="right"/>
            </w:pPr>
            <w:r>
              <w:t>N/A</w:t>
            </w:r>
          </w:p>
        </w:tc>
      </w:tr>
      <w:tr w:rsidR="00143D6B" w:rsidRPr="00A25F2C" w14:paraId="7810C8FE" w14:textId="77777777" w:rsidTr="00BA3F27">
        <w:tc>
          <w:tcPr>
            <w:tcW w:w="2125" w:type="pct"/>
          </w:tcPr>
          <w:p w14:paraId="4C6A0478" w14:textId="77777777" w:rsidR="007F4791" w:rsidRPr="00A25F2C" w:rsidRDefault="007F4791" w:rsidP="004E1FA1">
            <w:pPr>
              <w:pStyle w:val="TableBodyText"/>
            </w:pPr>
            <w:r w:rsidRPr="00A25F2C">
              <w:t>Cash</w:t>
            </w:r>
          </w:p>
        </w:tc>
        <w:tc>
          <w:tcPr>
            <w:tcW w:w="575" w:type="pct"/>
          </w:tcPr>
          <w:p w14:paraId="1A3A4D42" w14:textId="77777777" w:rsidR="007F4791" w:rsidRPr="00A25F2C" w:rsidRDefault="007F4791" w:rsidP="00F13D2F">
            <w:pPr>
              <w:pStyle w:val="TableBodyText"/>
              <w:jc w:val="right"/>
            </w:pPr>
            <w:r w:rsidRPr="00A25F2C">
              <w:t>0.1</w:t>
            </w:r>
          </w:p>
        </w:tc>
        <w:tc>
          <w:tcPr>
            <w:tcW w:w="575" w:type="pct"/>
          </w:tcPr>
          <w:p w14:paraId="49B29266" w14:textId="77777777" w:rsidR="007F4791" w:rsidRPr="00A25F2C" w:rsidRDefault="007F4791" w:rsidP="00F13D2F">
            <w:pPr>
              <w:pStyle w:val="TableBodyText"/>
              <w:jc w:val="right"/>
            </w:pPr>
            <w:r w:rsidRPr="00A25F2C">
              <w:t>0.1</w:t>
            </w:r>
          </w:p>
        </w:tc>
        <w:tc>
          <w:tcPr>
            <w:tcW w:w="575" w:type="pct"/>
          </w:tcPr>
          <w:p w14:paraId="62A74073" w14:textId="77777777" w:rsidR="007F4791" w:rsidRPr="00A25F2C" w:rsidRDefault="007F4791" w:rsidP="00F13D2F">
            <w:pPr>
              <w:pStyle w:val="TableBodyText"/>
              <w:jc w:val="right"/>
            </w:pPr>
            <w:r w:rsidRPr="00A25F2C">
              <w:t>0.1</w:t>
            </w:r>
          </w:p>
        </w:tc>
        <w:tc>
          <w:tcPr>
            <w:tcW w:w="575" w:type="pct"/>
          </w:tcPr>
          <w:p w14:paraId="45605D1C" w14:textId="77777777" w:rsidR="007F4791" w:rsidRPr="00A25F2C" w:rsidRDefault="007F4791" w:rsidP="00F13D2F">
            <w:pPr>
              <w:pStyle w:val="TableBodyText"/>
              <w:jc w:val="right"/>
            </w:pPr>
            <w:r w:rsidRPr="00A25F2C">
              <w:t>0.1</w:t>
            </w:r>
          </w:p>
        </w:tc>
        <w:tc>
          <w:tcPr>
            <w:tcW w:w="575" w:type="pct"/>
          </w:tcPr>
          <w:p w14:paraId="1CE0D324" w14:textId="77777777" w:rsidR="007F4791" w:rsidRPr="00A25F2C" w:rsidRDefault="007F4791" w:rsidP="00F13D2F">
            <w:pPr>
              <w:pStyle w:val="TableBodyText"/>
              <w:jc w:val="right"/>
            </w:pPr>
            <w:r w:rsidRPr="00A25F2C">
              <w:t>0.1</w:t>
            </w:r>
          </w:p>
        </w:tc>
      </w:tr>
      <w:tr w:rsidR="00143D6B" w:rsidRPr="00A25F2C" w14:paraId="4A02DCA9" w14:textId="77777777" w:rsidTr="00BA3F27">
        <w:tc>
          <w:tcPr>
            <w:tcW w:w="2125" w:type="pct"/>
          </w:tcPr>
          <w:p w14:paraId="36FBABF7" w14:textId="77777777" w:rsidR="007F4791" w:rsidRPr="00A25F2C" w:rsidRDefault="007F4791" w:rsidP="004E1FA1">
            <w:pPr>
              <w:pStyle w:val="TableBodyText"/>
            </w:pPr>
            <w:r w:rsidRPr="00A25F2C">
              <w:t>Trade &amp; Other Receivables</w:t>
            </w:r>
          </w:p>
        </w:tc>
        <w:tc>
          <w:tcPr>
            <w:tcW w:w="575" w:type="pct"/>
          </w:tcPr>
          <w:p w14:paraId="7000E796" w14:textId="77777777" w:rsidR="007F4791" w:rsidRPr="00A25F2C" w:rsidRDefault="007F4791" w:rsidP="00F13D2F">
            <w:pPr>
              <w:pStyle w:val="TableBodyText"/>
              <w:jc w:val="right"/>
            </w:pPr>
            <w:r w:rsidRPr="00A25F2C">
              <w:t>99.0</w:t>
            </w:r>
          </w:p>
        </w:tc>
        <w:tc>
          <w:tcPr>
            <w:tcW w:w="575" w:type="pct"/>
          </w:tcPr>
          <w:p w14:paraId="6DC162EB" w14:textId="77777777" w:rsidR="007F4791" w:rsidRPr="00A25F2C" w:rsidRDefault="007F4791" w:rsidP="00F13D2F">
            <w:pPr>
              <w:pStyle w:val="TableBodyText"/>
              <w:jc w:val="right"/>
            </w:pPr>
            <w:r w:rsidRPr="00A25F2C">
              <w:t>90.0</w:t>
            </w:r>
          </w:p>
        </w:tc>
        <w:tc>
          <w:tcPr>
            <w:tcW w:w="575" w:type="pct"/>
          </w:tcPr>
          <w:p w14:paraId="2EFCD446" w14:textId="77777777" w:rsidR="007F4791" w:rsidRPr="00A25F2C" w:rsidRDefault="007F4791" w:rsidP="00F13D2F">
            <w:pPr>
              <w:pStyle w:val="TableBodyText"/>
              <w:jc w:val="right"/>
            </w:pPr>
            <w:r w:rsidRPr="00A25F2C">
              <w:t>88.9</w:t>
            </w:r>
          </w:p>
        </w:tc>
        <w:tc>
          <w:tcPr>
            <w:tcW w:w="575" w:type="pct"/>
          </w:tcPr>
          <w:p w14:paraId="3468417F" w14:textId="77777777" w:rsidR="007F4791" w:rsidRPr="00A25F2C" w:rsidRDefault="007F4791" w:rsidP="00F13D2F">
            <w:pPr>
              <w:pStyle w:val="TableBodyText"/>
              <w:jc w:val="right"/>
            </w:pPr>
            <w:r w:rsidRPr="00A25F2C">
              <w:t>97.9</w:t>
            </w:r>
          </w:p>
        </w:tc>
        <w:tc>
          <w:tcPr>
            <w:tcW w:w="575" w:type="pct"/>
          </w:tcPr>
          <w:p w14:paraId="1EA5643B" w14:textId="77777777" w:rsidR="007F4791" w:rsidRPr="00A25F2C" w:rsidRDefault="007F4791" w:rsidP="00F13D2F">
            <w:pPr>
              <w:pStyle w:val="TableBodyText"/>
              <w:jc w:val="right"/>
            </w:pPr>
            <w:r w:rsidRPr="00A25F2C">
              <w:t>99.0</w:t>
            </w:r>
          </w:p>
        </w:tc>
      </w:tr>
      <w:tr w:rsidR="00143D6B" w:rsidRPr="00A25F2C" w14:paraId="37563A78" w14:textId="77777777" w:rsidTr="00BA3F27">
        <w:tc>
          <w:tcPr>
            <w:tcW w:w="2125" w:type="pct"/>
          </w:tcPr>
          <w:p w14:paraId="6AD82632" w14:textId="77777777" w:rsidR="007F4791" w:rsidRPr="00A25F2C" w:rsidRDefault="007F4791" w:rsidP="004E1FA1">
            <w:pPr>
              <w:pStyle w:val="TableBodyText"/>
            </w:pPr>
            <w:r w:rsidRPr="00A25F2C">
              <w:t>Materials</w:t>
            </w:r>
          </w:p>
        </w:tc>
        <w:tc>
          <w:tcPr>
            <w:tcW w:w="575" w:type="pct"/>
          </w:tcPr>
          <w:p w14:paraId="013E2E19" w14:textId="77777777" w:rsidR="007F4791" w:rsidRPr="00A25F2C" w:rsidRDefault="007F4791" w:rsidP="00F13D2F">
            <w:pPr>
              <w:pStyle w:val="TableBodyText"/>
              <w:jc w:val="right"/>
            </w:pPr>
            <w:r w:rsidRPr="00A25F2C">
              <w:t>9.1</w:t>
            </w:r>
          </w:p>
        </w:tc>
        <w:tc>
          <w:tcPr>
            <w:tcW w:w="575" w:type="pct"/>
          </w:tcPr>
          <w:p w14:paraId="497B3825" w14:textId="77777777" w:rsidR="007F4791" w:rsidRPr="00A25F2C" w:rsidRDefault="007F4791" w:rsidP="00F13D2F">
            <w:pPr>
              <w:pStyle w:val="TableBodyText"/>
              <w:jc w:val="right"/>
            </w:pPr>
            <w:r w:rsidRPr="00A25F2C">
              <w:t>9.1</w:t>
            </w:r>
          </w:p>
        </w:tc>
        <w:tc>
          <w:tcPr>
            <w:tcW w:w="575" w:type="pct"/>
          </w:tcPr>
          <w:p w14:paraId="1725ACBA" w14:textId="77777777" w:rsidR="007F4791" w:rsidRPr="00A25F2C" w:rsidRDefault="007F4791" w:rsidP="00F13D2F">
            <w:pPr>
              <w:pStyle w:val="TableBodyText"/>
              <w:jc w:val="right"/>
            </w:pPr>
            <w:r w:rsidRPr="00A25F2C">
              <w:t>9.1</w:t>
            </w:r>
          </w:p>
        </w:tc>
        <w:tc>
          <w:tcPr>
            <w:tcW w:w="575" w:type="pct"/>
          </w:tcPr>
          <w:p w14:paraId="1B600CE0" w14:textId="77777777" w:rsidR="007F4791" w:rsidRPr="00A25F2C" w:rsidRDefault="007F4791" w:rsidP="00F13D2F">
            <w:pPr>
              <w:pStyle w:val="TableBodyText"/>
              <w:jc w:val="right"/>
            </w:pPr>
            <w:r w:rsidRPr="00A25F2C">
              <w:t>9.1</w:t>
            </w:r>
          </w:p>
        </w:tc>
        <w:tc>
          <w:tcPr>
            <w:tcW w:w="575" w:type="pct"/>
          </w:tcPr>
          <w:p w14:paraId="4EDAB4C8" w14:textId="77777777" w:rsidR="007F4791" w:rsidRPr="00A25F2C" w:rsidRDefault="007F4791" w:rsidP="00F13D2F">
            <w:pPr>
              <w:pStyle w:val="TableBodyText"/>
              <w:jc w:val="right"/>
            </w:pPr>
            <w:r w:rsidRPr="00A25F2C">
              <w:t>9.1</w:t>
            </w:r>
          </w:p>
        </w:tc>
      </w:tr>
      <w:tr w:rsidR="00143D6B" w:rsidRPr="00A25F2C" w14:paraId="1416D200" w14:textId="77777777" w:rsidTr="00BA3F27">
        <w:tc>
          <w:tcPr>
            <w:tcW w:w="2125" w:type="pct"/>
          </w:tcPr>
          <w:p w14:paraId="020DD0F5" w14:textId="77777777" w:rsidR="007F4791" w:rsidRPr="00A25F2C" w:rsidRDefault="007F4791" w:rsidP="004E1FA1">
            <w:pPr>
              <w:pStyle w:val="TableBodyText"/>
            </w:pPr>
            <w:r w:rsidRPr="00A25F2C">
              <w:t>Other</w:t>
            </w:r>
          </w:p>
        </w:tc>
        <w:tc>
          <w:tcPr>
            <w:tcW w:w="575" w:type="pct"/>
          </w:tcPr>
          <w:p w14:paraId="671605CB" w14:textId="77777777" w:rsidR="007F4791" w:rsidRPr="00A25F2C" w:rsidRDefault="007F4791" w:rsidP="00F13D2F">
            <w:pPr>
              <w:pStyle w:val="TableBodyText"/>
              <w:jc w:val="right"/>
            </w:pPr>
            <w:r w:rsidRPr="00A25F2C">
              <w:t>12.3</w:t>
            </w:r>
          </w:p>
        </w:tc>
        <w:tc>
          <w:tcPr>
            <w:tcW w:w="575" w:type="pct"/>
          </w:tcPr>
          <w:p w14:paraId="52E91ED4" w14:textId="77777777" w:rsidR="007F4791" w:rsidRPr="00A25F2C" w:rsidRDefault="007F4791" w:rsidP="00F13D2F">
            <w:pPr>
              <w:pStyle w:val="TableBodyText"/>
              <w:jc w:val="right"/>
            </w:pPr>
            <w:r w:rsidRPr="00A25F2C">
              <w:t>17.9</w:t>
            </w:r>
          </w:p>
        </w:tc>
        <w:tc>
          <w:tcPr>
            <w:tcW w:w="575" w:type="pct"/>
          </w:tcPr>
          <w:p w14:paraId="545092F1" w14:textId="77777777" w:rsidR="007F4791" w:rsidRPr="00A25F2C" w:rsidRDefault="007F4791" w:rsidP="00F13D2F">
            <w:pPr>
              <w:pStyle w:val="TableBodyText"/>
              <w:jc w:val="right"/>
            </w:pPr>
            <w:r w:rsidRPr="00A25F2C">
              <w:t>16.0</w:t>
            </w:r>
          </w:p>
        </w:tc>
        <w:tc>
          <w:tcPr>
            <w:tcW w:w="575" w:type="pct"/>
          </w:tcPr>
          <w:p w14:paraId="3221FEEB" w14:textId="77777777" w:rsidR="007F4791" w:rsidRPr="00A25F2C" w:rsidRDefault="007F4791" w:rsidP="00F13D2F">
            <w:pPr>
              <w:pStyle w:val="TableBodyText"/>
              <w:jc w:val="right"/>
            </w:pPr>
            <w:r w:rsidRPr="00A25F2C">
              <w:t>15.1</w:t>
            </w:r>
          </w:p>
        </w:tc>
        <w:tc>
          <w:tcPr>
            <w:tcW w:w="575" w:type="pct"/>
          </w:tcPr>
          <w:p w14:paraId="5D3D4F44" w14:textId="77777777" w:rsidR="007F4791" w:rsidRPr="00A25F2C" w:rsidRDefault="007F4791" w:rsidP="00F13D2F">
            <w:pPr>
              <w:pStyle w:val="TableBodyText"/>
              <w:jc w:val="right"/>
            </w:pPr>
            <w:r w:rsidRPr="00A25F2C">
              <w:t>12.3</w:t>
            </w:r>
          </w:p>
        </w:tc>
      </w:tr>
      <w:tr w:rsidR="007F4791" w:rsidRPr="00A25F2C" w14:paraId="188306F8" w14:textId="77777777" w:rsidTr="00BA3F27">
        <w:tc>
          <w:tcPr>
            <w:tcW w:w="2125" w:type="pct"/>
          </w:tcPr>
          <w:p w14:paraId="4A830BDD" w14:textId="77777777" w:rsidR="007F4791" w:rsidRPr="00A25F2C" w:rsidRDefault="007F4791" w:rsidP="004E1FA1">
            <w:pPr>
              <w:pStyle w:val="TableBodyText"/>
            </w:pPr>
            <w:r w:rsidRPr="00A25F2C">
              <w:rPr>
                <w:b/>
              </w:rPr>
              <w:t>Total Current Assets</w:t>
            </w:r>
          </w:p>
        </w:tc>
        <w:tc>
          <w:tcPr>
            <w:tcW w:w="575" w:type="pct"/>
          </w:tcPr>
          <w:p w14:paraId="206AEA2A" w14:textId="77777777" w:rsidR="007F4791" w:rsidRPr="00A25F2C" w:rsidRDefault="007F4791" w:rsidP="00F13D2F">
            <w:pPr>
              <w:pStyle w:val="TableBodyText"/>
              <w:jc w:val="right"/>
            </w:pPr>
            <w:r w:rsidRPr="00A25F2C">
              <w:rPr>
                <w:b/>
              </w:rPr>
              <w:t>120.5</w:t>
            </w:r>
          </w:p>
        </w:tc>
        <w:tc>
          <w:tcPr>
            <w:tcW w:w="575" w:type="pct"/>
          </w:tcPr>
          <w:p w14:paraId="40A60EAC" w14:textId="77777777" w:rsidR="007F4791" w:rsidRPr="00A25F2C" w:rsidRDefault="007F4791" w:rsidP="00F13D2F">
            <w:pPr>
              <w:pStyle w:val="TableBodyText"/>
              <w:jc w:val="right"/>
            </w:pPr>
            <w:r w:rsidRPr="00A25F2C">
              <w:rPr>
                <w:b/>
              </w:rPr>
              <w:t>117.1</w:t>
            </w:r>
          </w:p>
        </w:tc>
        <w:tc>
          <w:tcPr>
            <w:tcW w:w="575" w:type="pct"/>
          </w:tcPr>
          <w:p w14:paraId="3D8DA5EA" w14:textId="77777777" w:rsidR="007F4791" w:rsidRPr="00A25F2C" w:rsidRDefault="007F4791" w:rsidP="00F13D2F">
            <w:pPr>
              <w:pStyle w:val="TableBodyText"/>
              <w:jc w:val="right"/>
            </w:pPr>
            <w:r w:rsidRPr="00A25F2C">
              <w:rPr>
                <w:b/>
              </w:rPr>
              <w:t>114.1</w:t>
            </w:r>
          </w:p>
        </w:tc>
        <w:tc>
          <w:tcPr>
            <w:tcW w:w="575" w:type="pct"/>
          </w:tcPr>
          <w:p w14:paraId="7E22DC25" w14:textId="77777777" w:rsidR="007F4791" w:rsidRPr="00A25F2C" w:rsidRDefault="007F4791" w:rsidP="00F13D2F">
            <w:pPr>
              <w:pStyle w:val="TableBodyText"/>
              <w:jc w:val="right"/>
            </w:pPr>
            <w:r w:rsidRPr="00A25F2C">
              <w:rPr>
                <w:b/>
              </w:rPr>
              <w:t>122.2</w:t>
            </w:r>
          </w:p>
        </w:tc>
        <w:tc>
          <w:tcPr>
            <w:tcW w:w="575" w:type="pct"/>
          </w:tcPr>
          <w:p w14:paraId="1A6464FD" w14:textId="77777777" w:rsidR="007F4791" w:rsidRPr="00A25F2C" w:rsidRDefault="007F4791" w:rsidP="00F13D2F">
            <w:pPr>
              <w:pStyle w:val="TableBodyText"/>
              <w:jc w:val="right"/>
              <w:rPr>
                <w:b/>
              </w:rPr>
            </w:pPr>
            <w:r w:rsidRPr="00A25F2C">
              <w:rPr>
                <w:b/>
              </w:rPr>
              <w:t>120.5</w:t>
            </w:r>
          </w:p>
        </w:tc>
      </w:tr>
      <w:tr w:rsidR="00143D6B" w:rsidRPr="00A25F2C" w14:paraId="49F1C89F" w14:textId="77777777" w:rsidTr="00BA3F27">
        <w:tc>
          <w:tcPr>
            <w:tcW w:w="2125" w:type="pct"/>
          </w:tcPr>
          <w:p w14:paraId="75AF0F63" w14:textId="77777777" w:rsidR="007F4791" w:rsidRPr="00A25F2C" w:rsidRDefault="007F4791" w:rsidP="004E1FA1">
            <w:pPr>
              <w:pStyle w:val="TableBodyText"/>
              <w:rPr>
                <w:b/>
              </w:rPr>
            </w:pPr>
            <w:r w:rsidRPr="00A25F2C">
              <w:rPr>
                <w:b/>
              </w:rPr>
              <w:t>Non-Current Assets</w:t>
            </w:r>
          </w:p>
        </w:tc>
        <w:tc>
          <w:tcPr>
            <w:tcW w:w="575" w:type="pct"/>
          </w:tcPr>
          <w:p w14:paraId="57EE4B1D" w14:textId="6FD49A27" w:rsidR="007F4791" w:rsidRPr="00A25F2C" w:rsidRDefault="00995D31" w:rsidP="00F13D2F">
            <w:pPr>
              <w:spacing w:before="0" w:after="0"/>
              <w:jc w:val="right"/>
            </w:pPr>
            <w:r>
              <w:t>N/A</w:t>
            </w:r>
          </w:p>
        </w:tc>
        <w:tc>
          <w:tcPr>
            <w:tcW w:w="575" w:type="pct"/>
          </w:tcPr>
          <w:p w14:paraId="6BC48501" w14:textId="6491880D" w:rsidR="007F4791" w:rsidRPr="00A25F2C" w:rsidRDefault="00995D31" w:rsidP="00F13D2F">
            <w:pPr>
              <w:spacing w:before="0" w:after="0"/>
              <w:jc w:val="right"/>
            </w:pPr>
            <w:r>
              <w:t>N/A</w:t>
            </w:r>
          </w:p>
        </w:tc>
        <w:tc>
          <w:tcPr>
            <w:tcW w:w="575" w:type="pct"/>
          </w:tcPr>
          <w:p w14:paraId="6D2F5FA9" w14:textId="06D72C0B" w:rsidR="007F4791" w:rsidRPr="00A25F2C" w:rsidRDefault="00995D31" w:rsidP="00F13D2F">
            <w:pPr>
              <w:spacing w:before="0" w:after="0"/>
              <w:jc w:val="right"/>
            </w:pPr>
            <w:r>
              <w:t>N/A</w:t>
            </w:r>
          </w:p>
        </w:tc>
        <w:tc>
          <w:tcPr>
            <w:tcW w:w="575" w:type="pct"/>
          </w:tcPr>
          <w:p w14:paraId="4D75D09A" w14:textId="1C49D38A" w:rsidR="007F4791" w:rsidRPr="00A25F2C" w:rsidRDefault="00995D31" w:rsidP="00F13D2F">
            <w:pPr>
              <w:spacing w:before="0" w:after="0"/>
              <w:jc w:val="right"/>
            </w:pPr>
            <w:r>
              <w:t>N/A</w:t>
            </w:r>
          </w:p>
        </w:tc>
        <w:tc>
          <w:tcPr>
            <w:tcW w:w="575" w:type="pct"/>
          </w:tcPr>
          <w:p w14:paraId="3BD087AD" w14:textId="12368E81" w:rsidR="007F4791" w:rsidRPr="00A25F2C" w:rsidRDefault="00995D31" w:rsidP="00F13D2F">
            <w:pPr>
              <w:pStyle w:val="TableBodyText"/>
              <w:jc w:val="right"/>
            </w:pPr>
            <w:r>
              <w:t>N/A</w:t>
            </w:r>
          </w:p>
        </w:tc>
      </w:tr>
      <w:tr w:rsidR="00143D6B" w:rsidRPr="00A25F2C" w14:paraId="1812F527" w14:textId="77777777" w:rsidTr="00BA3F27">
        <w:tc>
          <w:tcPr>
            <w:tcW w:w="2125" w:type="pct"/>
          </w:tcPr>
          <w:p w14:paraId="5BAA4E42" w14:textId="77777777" w:rsidR="007F4791" w:rsidRPr="00A25F2C" w:rsidRDefault="007F4791" w:rsidP="004E1FA1">
            <w:pPr>
              <w:pStyle w:val="TableBodyText"/>
            </w:pPr>
            <w:r w:rsidRPr="00A25F2C">
              <w:t>Fixed Assets (net of accumulated depreciation)</w:t>
            </w:r>
          </w:p>
        </w:tc>
        <w:tc>
          <w:tcPr>
            <w:tcW w:w="575" w:type="pct"/>
          </w:tcPr>
          <w:p w14:paraId="2F89134B" w14:textId="77777777" w:rsidR="007F4791" w:rsidRPr="00A25F2C" w:rsidRDefault="007F4791" w:rsidP="00F13D2F">
            <w:pPr>
              <w:pStyle w:val="TableBodyText"/>
              <w:jc w:val="right"/>
            </w:pPr>
            <w:r w:rsidRPr="00A25F2C">
              <w:t>17,649.0</w:t>
            </w:r>
          </w:p>
        </w:tc>
        <w:tc>
          <w:tcPr>
            <w:tcW w:w="575" w:type="pct"/>
          </w:tcPr>
          <w:p w14:paraId="38B5EB81" w14:textId="77777777" w:rsidR="007F4791" w:rsidRPr="00A25F2C" w:rsidRDefault="007F4791" w:rsidP="00F13D2F">
            <w:pPr>
              <w:pStyle w:val="TableBodyText"/>
              <w:jc w:val="right"/>
            </w:pPr>
            <w:r w:rsidRPr="00A25F2C">
              <w:t>17,184.9</w:t>
            </w:r>
          </w:p>
        </w:tc>
        <w:tc>
          <w:tcPr>
            <w:tcW w:w="575" w:type="pct"/>
          </w:tcPr>
          <w:p w14:paraId="361883BD" w14:textId="77777777" w:rsidR="007F4791" w:rsidRPr="00A25F2C" w:rsidRDefault="007F4791" w:rsidP="00F13D2F">
            <w:pPr>
              <w:pStyle w:val="TableBodyText"/>
              <w:jc w:val="right"/>
            </w:pPr>
            <w:r w:rsidRPr="00A25F2C">
              <w:t>17,354.0</w:t>
            </w:r>
          </w:p>
        </w:tc>
        <w:tc>
          <w:tcPr>
            <w:tcW w:w="575" w:type="pct"/>
          </w:tcPr>
          <w:p w14:paraId="6582B543" w14:textId="77777777" w:rsidR="007F4791" w:rsidRPr="00A25F2C" w:rsidRDefault="007F4791" w:rsidP="00F13D2F">
            <w:pPr>
              <w:pStyle w:val="TableBodyText"/>
              <w:jc w:val="right"/>
            </w:pPr>
            <w:r w:rsidRPr="00A25F2C">
              <w:t>17,508.8</w:t>
            </w:r>
          </w:p>
        </w:tc>
        <w:tc>
          <w:tcPr>
            <w:tcW w:w="575" w:type="pct"/>
          </w:tcPr>
          <w:p w14:paraId="6270AFBE" w14:textId="77777777" w:rsidR="007F4791" w:rsidRPr="00A25F2C" w:rsidRDefault="007F4791" w:rsidP="00F13D2F">
            <w:pPr>
              <w:pStyle w:val="TableBodyText"/>
              <w:jc w:val="right"/>
            </w:pPr>
            <w:r w:rsidRPr="00A25F2C">
              <w:t>17,649.0</w:t>
            </w:r>
          </w:p>
        </w:tc>
      </w:tr>
      <w:tr w:rsidR="00143D6B" w:rsidRPr="00A25F2C" w14:paraId="4C6A07D9" w14:textId="77777777" w:rsidTr="00BA3F27">
        <w:tc>
          <w:tcPr>
            <w:tcW w:w="2125" w:type="pct"/>
          </w:tcPr>
          <w:p w14:paraId="2A538693" w14:textId="77777777" w:rsidR="007F4791" w:rsidRPr="00A25F2C" w:rsidRDefault="007F4791" w:rsidP="004E1FA1">
            <w:pPr>
              <w:pStyle w:val="TableBodyText"/>
            </w:pPr>
            <w:r w:rsidRPr="00A25F2C">
              <w:t>Defined Benefit Plan</w:t>
            </w:r>
          </w:p>
        </w:tc>
        <w:tc>
          <w:tcPr>
            <w:tcW w:w="575" w:type="pct"/>
          </w:tcPr>
          <w:p w14:paraId="615E9216" w14:textId="77777777" w:rsidR="007F4791" w:rsidRPr="00A25F2C" w:rsidRDefault="007F4791" w:rsidP="00F13D2F">
            <w:pPr>
              <w:pStyle w:val="TableBodyText"/>
              <w:jc w:val="right"/>
            </w:pPr>
            <w:r w:rsidRPr="00A25F2C">
              <w:t>27.3</w:t>
            </w:r>
          </w:p>
        </w:tc>
        <w:tc>
          <w:tcPr>
            <w:tcW w:w="575" w:type="pct"/>
          </w:tcPr>
          <w:p w14:paraId="04174A49" w14:textId="77777777" w:rsidR="007F4791" w:rsidRPr="00A25F2C" w:rsidRDefault="007F4791" w:rsidP="00F13D2F">
            <w:pPr>
              <w:pStyle w:val="TableBodyText"/>
              <w:jc w:val="right"/>
            </w:pPr>
            <w:r w:rsidRPr="00A25F2C">
              <w:t>27.3</w:t>
            </w:r>
          </w:p>
        </w:tc>
        <w:tc>
          <w:tcPr>
            <w:tcW w:w="575" w:type="pct"/>
          </w:tcPr>
          <w:p w14:paraId="0C898267" w14:textId="77777777" w:rsidR="007F4791" w:rsidRPr="00A25F2C" w:rsidRDefault="007F4791" w:rsidP="00F13D2F">
            <w:pPr>
              <w:pStyle w:val="TableBodyText"/>
              <w:jc w:val="right"/>
            </w:pPr>
            <w:r w:rsidRPr="00A25F2C">
              <w:t>27.3</w:t>
            </w:r>
          </w:p>
        </w:tc>
        <w:tc>
          <w:tcPr>
            <w:tcW w:w="575" w:type="pct"/>
          </w:tcPr>
          <w:p w14:paraId="125C5F85" w14:textId="77777777" w:rsidR="007F4791" w:rsidRPr="00A25F2C" w:rsidRDefault="007F4791" w:rsidP="00F13D2F">
            <w:pPr>
              <w:pStyle w:val="TableBodyText"/>
              <w:jc w:val="right"/>
            </w:pPr>
            <w:r w:rsidRPr="00A25F2C">
              <w:t>27.3</w:t>
            </w:r>
          </w:p>
        </w:tc>
        <w:tc>
          <w:tcPr>
            <w:tcW w:w="575" w:type="pct"/>
          </w:tcPr>
          <w:p w14:paraId="7CC92A55" w14:textId="77777777" w:rsidR="007F4791" w:rsidRPr="00A25F2C" w:rsidRDefault="007F4791" w:rsidP="00F13D2F">
            <w:pPr>
              <w:pStyle w:val="TableBodyText"/>
              <w:jc w:val="right"/>
            </w:pPr>
            <w:r w:rsidRPr="00A25F2C">
              <w:t>27.3</w:t>
            </w:r>
          </w:p>
        </w:tc>
      </w:tr>
      <w:tr w:rsidR="007F4791" w:rsidRPr="00A25F2C" w14:paraId="0A039D23" w14:textId="77777777" w:rsidTr="00BA3F27">
        <w:tc>
          <w:tcPr>
            <w:tcW w:w="2125" w:type="pct"/>
          </w:tcPr>
          <w:p w14:paraId="1ABBEB2C" w14:textId="77777777" w:rsidR="007F4791" w:rsidRPr="00A25F2C" w:rsidRDefault="007F4791" w:rsidP="004E1FA1">
            <w:pPr>
              <w:pStyle w:val="TableBodyText"/>
            </w:pPr>
            <w:r w:rsidRPr="00A25F2C">
              <w:rPr>
                <w:b/>
              </w:rPr>
              <w:t>Total Non-Current Assets</w:t>
            </w:r>
          </w:p>
        </w:tc>
        <w:tc>
          <w:tcPr>
            <w:tcW w:w="575" w:type="pct"/>
          </w:tcPr>
          <w:p w14:paraId="3639BA92" w14:textId="77777777" w:rsidR="007F4791" w:rsidRPr="00A25F2C" w:rsidRDefault="007F4791" w:rsidP="00F13D2F">
            <w:pPr>
              <w:pStyle w:val="TableBodyText"/>
              <w:jc w:val="right"/>
            </w:pPr>
            <w:r w:rsidRPr="00A25F2C">
              <w:rPr>
                <w:b/>
              </w:rPr>
              <w:t>17,676.3</w:t>
            </w:r>
          </w:p>
        </w:tc>
        <w:tc>
          <w:tcPr>
            <w:tcW w:w="575" w:type="pct"/>
          </w:tcPr>
          <w:p w14:paraId="5FB746BB" w14:textId="77777777" w:rsidR="007F4791" w:rsidRPr="00A25F2C" w:rsidRDefault="007F4791" w:rsidP="00F13D2F">
            <w:pPr>
              <w:pStyle w:val="TableBodyText"/>
              <w:jc w:val="right"/>
            </w:pPr>
            <w:r w:rsidRPr="00A25F2C">
              <w:rPr>
                <w:b/>
              </w:rPr>
              <w:t>17,212.2</w:t>
            </w:r>
          </w:p>
        </w:tc>
        <w:tc>
          <w:tcPr>
            <w:tcW w:w="575" w:type="pct"/>
          </w:tcPr>
          <w:p w14:paraId="15217005" w14:textId="77777777" w:rsidR="007F4791" w:rsidRPr="00A25F2C" w:rsidRDefault="007F4791" w:rsidP="00F13D2F">
            <w:pPr>
              <w:pStyle w:val="TableBodyText"/>
              <w:jc w:val="right"/>
            </w:pPr>
            <w:r w:rsidRPr="00A25F2C">
              <w:rPr>
                <w:b/>
              </w:rPr>
              <w:t>17,381.3</w:t>
            </w:r>
          </w:p>
        </w:tc>
        <w:tc>
          <w:tcPr>
            <w:tcW w:w="575" w:type="pct"/>
          </w:tcPr>
          <w:p w14:paraId="3ED31B80" w14:textId="77777777" w:rsidR="007F4791" w:rsidRPr="00A25F2C" w:rsidRDefault="007F4791" w:rsidP="00F13D2F">
            <w:pPr>
              <w:pStyle w:val="TableBodyText"/>
              <w:jc w:val="right"/>
            </w:pPr>
            <w:r w:rsidRPr="00A25F2C">
              <w:rPr>
                <w:b/>
              </w:rPr>
              <w:t>17,536.1</w:t>
            </w:r>
          </w:p>
        </w:tc>
        <w:tc>
          <w:tcPr>
            <w:tcW w:w="575" w:type="pct"/>
          </w:tcPr>
          <w:p w14:paraId="43D2D35E" w14:textId="77777777" w:rsidR="007F4791" w:rsidRPr="00A25F2C" w:rsidRDefault="007F4791" w:rsidP="00F13D2F">
            <w:pPr>
              <w:pStyle w:val="TableBodyText"/>
              <w:jc w:val="right"/>
              <w:rPr>
                <w:b/>
              </w:rPr>
            </w:pPr>
            <w:r w:rsidRPr="00A25F2C">
              <w:rPr>
                <w:b/>
              </w:rPr>
              <w:t>17,676.3</w:t>
            </w:r>
          </w:p>
        </w:tc>
      </w:tr>
      <w:tr w:rsidR="007F4791" w:rsidRPr="00A25F2C" w14:paraId="565906DA" w14:textId="77777777" w:rsidTr="00BA3F27">
        <w:tc>
          <w:tcPr>
            <w:tcW w:w="2125" w:type="pct"/>
          </w:tcPr>
          <w:p w14:paraId="47AFEEFA" w14:textId="7E8340B1" w:rsidR="007F4791" w:rsidRPr="00A25F2C" w:rsidRDefault="00E65500" w:rsidP="004E1FA1">
            <w:pPr>
              <w:pStyle w:val="TableBodyText"/>
            </w:pPr>
            <w:r w:rsidRPr="00A25F2C">
              <w:rPr>
                <w:b/>
              </w:rPr>
              <w:t>Total Assets</w:t>
            </w:r>
          </w:p>
        </w:tc>
        <w:tc>
          <w:tcPr>
            <w:tcW w:w="575" w:type="pct"/>
          </w:tcPr>
          <w:p w14:paraId="436FCD8E" w14:textId="77777777" w:rsidR="007F4791" w:rsidRPr="00A25F2C" w:rsidRDefault="007F4791" w:rsidP="00F13D2F">
            <w:pPr>
              <w:pStyle w:val="TableBodyText"/>
              <w:jc w:val="right"/>
            </w:pPr>
            <w:r w:rsidRPr="00A25F2C">
              <w:rPr>
                <w:b/>
              </w:rPr>
              <w:t>17,796.8</w:t>
            </w:r>
          </w:p>
        </w:tc>
        <w:tc>
          <w:tcPr>
            <w:tcW w:w="575" w:type="pct"/>
          </w:tcPr>
          <w:p w14:paraId="332D872B" w14:textId="77777777" w:rsidR="007F4791" w:rsidRPr="00A25F2C" w:rsidRDefault="007F4791" w:rsidP="00F13D2F">
            <w:pPr>
              <w:pStyle w:val="TableBodyText"/>
              <w:jc w:val="right"/>
            </w:pPr>
            <w:r w:rsidRPr="00A25F2C">
              <w:rPr>
                <w:b/>
              </w:rPr>
              <w:t>17,329.3</w:t>
            </w:r>
          </w:p>
        </w:tc>
        <w:tc>
          <w:tcPr>
            <w:tcW w:w="575" w:type="pct"/>
          </w:tcPr>
          <w:p w14:paraId="74A75A81" w14:textId="77777777" w:rsidR="007F4791" w:rsidRPr="00A25F2C" w:rsidRDefault="007F4791" w:rsidP="00F13D2F">
            <w:pPr>
              <w:pStyle w:val="TableBodyText"/>
              <w:jc w:val="right"/>
            </w:pPr>
            <w:r w:rsidRPr="00A25F2C">
              <w:rPr>
                <w:b/>
              </w:rPr>
              <w:t>17,495.4</w:t>
            </w:r>
          </w:p>
        </w:tc>
        <w:tc>
          <w:tcPr>
            <w:tcW w:w="575" w:type="pct"/>
          </w:tcPr>
          <w:p w14:paraId="5347F78E" w14:textId="77777777" w:rsidR="007F4791" w:rsidRPr="00A25F2C" w:rsidRDefault="007F4791" w:rsidP="00F13D2F">
            <w:pPr>
              <w:pStyle w:val="TableBodyText"/>
              <w:jc w:val="right"/>
            </w:pPr>
            <w:r w:rsidRPr="00A25F2C">
              <w:rPr>
                <w:b/>
              </w:rPr>
              <w:t>17,658.3</w:t>
            </w:r>
          </w:p>
        </w:tc>
        <w:tc>
          <w:tcPr>
            <w:tcW w:w="575" w:type="pct"/>
          </w:tcPr>
          <w:p w14:paraId="0AF0E39F" w14:textId="77777777" w:rsidR="007F4791" w:rsidRPr="00A25F2C" w:rsidRDefault="007F4791" w:rsidP="00F13D2F">
            <w:pPr>
              <w:pStyle w:val="TableBodyText"/>
              <w:jc w:val="right"/>
              <w:rPr>
                <w:b/>
              </w:rPr>
            </w:pPr>
            <w:r w:rsidRPr="00A25F2C">
              <w:rPr>
                <w:b/>
              </w:rPr>
              <w:t>17,796.8</w:t>
            </w:r>
          </w:p>
        </w:tc>
      </w:tr>
      <w:tr w:rsidR="00143D6B" w:rsidRPr="00A25F2C" w14:paraId="5DC95D7F" w14:textId="77777777" w:rsidTr="00BA3F27">
        <w:tc>
          <w:tcPr>
            <w:tcW w:w="2125" w:type="pct"/>
          </w:tcPr>
          <w:p w14:paraId="3068CCF6" w14:textId="77777777" w:rsidR="007F4791" w:rsidRPr="00A25F2C" w:rsidRDefault="007F4791" w:rsidP="004E1FA1">
            <w:pPr>
              <w:pStyle w:val="TableBodyText"/>
              <w:rPr>
                <w:b/>
              </w:rPr>
            </w:pPr>
            <w:r w:rsidRPr="00A25F2C">
              <w:rPr>
                <w:b/>
              </w:rPr>
              <w:t>Current Liabilities</w:t>
            </w:r>
          </w:p>
        </w:tc>
        <w:tc>
          <w:tcPr>
            <w:tcW w:w="575" w:type="pct"/>
          </w:tcPr>
          <w:p w14:paraId="3F8BC532" w14:textId="3FE27B63" w:rsidR="007F4791" w:rsidRPr="00A25F2C" w:rsidRDefault="00995D31" w:rsidP="00F13D2F">
            <w:pPr>
              <w:spacing w:before="0" w:after="0"/>
              <w:jc w:val="right"/>
            </w:pPr>
            <w:r>
              <w:t>N/A</w:t>
            </w:r>
          </w:p>
        </w:tc>
        <w:tc>
          <w:tcPr>
            <w:tcW w:w="575" w:type="pct"/>
          </w:tcPr>
          <w:p w14:paraId="7018E21B" w14:textId="300A16B6" w:rsidR="007F4791" w:rsidRPr="00A25F2C" w:rsidRDefault="00995D31" w:rsidP="00F13D2F">
            <w:pPr>
              <w:spacing w:before="0" w:after="0"/>
              <w:jc w:val="right"/>
            </w:pPr>
            <w:r>
              <w:t>N/A</w:t>
            </w:r>
          </w:p>
        </w:tc>
        <w:tc>
          <w:tcPr>
            <w:tcW w:w="575" w:type="pct"/>
          </w:tcPr>
          <w:p w14:paraId="05A728F0" w14:textId="0006E302" w:rsidR="007F4791" w:rsidRPr="00A25F2C" w:rsidRDefault="00995D31" w:rsidP="00F13D2F">
            <w:pPr>
              <w:spacing w:before="0" w:after="0"/>
              <w:jc w:val="right"/>
            </w:pPr>
            <w:r>
              <w:t>N/A</w:t>
            </w:r>
          </w:p>
        </w:tc>
        <w:tc>
          <w:tcPr>
            <w:tcW w:w="575" w:type="pct"/>
          </w:tcPr>
          <w:p w14:paraId="78DA2DDD" w14:textId="57003E37" w:rsidR="007F4791" w:rsidRPr="00A25F2C" w:rsidRDefault="00995D31" w:rsidP="00F13D2F">
            <w:pPr>
              <w:spacing w:before="0" w:after="0"/>
              <w:jc w:val="right"/>
            </w:pPr>
            <w:r>
              <w:t>N/A</w:t>
            </w:r>
          </w:p>
        </w:tc>
        <w:tc>
          <w:tcPr>
            <w:tcW w:w="575" w:type="pct"/>
          </w:tcPr>
          <w:p w14:paraId="651E7DB4" w14:textId="53DFBFD2" w:rsidR="007F4791" w:rsidRPr="00A25F2C" w:rsidRDefault="00995D31" w:rsidP="00F13D2F">
            <w:pPr>
              <w:pStyle w:val="TableBodyText"/>
              <w:jc w:val="right"/>
            </w:pPr>
            <w:r>
              <w:t>N/A</w:t>
            </w:r>
          </w:p>
        </w:tc>
      </w:tr>
      <w:tr w:rsidR="00143D6B" w:rsidRPr="00A25F2C" w14:paraId="682AB566" w14:textId="77777777" w:rsidTr="00BA3F27">
        <w:tc>
          <w:tcPr>
            <w:tcW w:w="2125" w:type="pct"/>
          </w:tcPr>
          <w:p w14:paraId="1114BBB0" w14:textId="77777777" w:rsidR="007F4791" w:rsidRPr="00A25F2C" w:rsidRDefault="007F4791" w:rsidP="004E1FA1">
            <w:pPr>
              <w:pStyle w:val="TableBodyText"/>
            </w:pPr>
            <w:r w:rsidRPr="00A25F2C">
              <w:t>Trade Payables</w:t>
            </w:r>
          </w:p>
        </w:tc>
        <w:tc>
          <w:tcPr>
            <w:tcW w:w="575" w:type="pct"/>
          </w:tcPr>
          <w:p w14:paraId="63710DA7" w14:textId="77777777" w:rsidR="007F4791" w:rsidRPr="00A25F2C" w:rsidRDefault="007F4791" w:rsidP="00F13D2F">
            <w:pPr>
              <w:pStyle w:val="TableBodyText"/>
              <w:jc w:val="right"/>
            </w:pPr>
            <w:r w:rsidRPr="00A25F2C">
              <w:t>(48.4)</w:t>
            </w:r>
          </w:p>
        </w:tc>
        <w:tc>
          <w:tcPr>
            <w:tcW w:w="575" w:type="pct"/>
          </w:tcPr>
          <w:p w14:paraId="03259AC9" w14:textId="77777777" w:rsidR="007F4791" w:rsidRPr="00A25F2C" w:rsidRDefault="007F4791" w:rsidP="00F13D2F">
            <w:pPr>
              <w:pStyle w:val="TableBodyText"/>
              <w:jc w:val="right"/>
            </w:pPr>
            <w:r w:rsidRPr="00A25F2C">
              <w:t>(44.2)</w:t>
            </w:r>
          </w:p>
        </w:tc>
        <w:tc>
          <w:tcPr>
            <w:tcW w:w="575" w:type="pct"/>
          </w:tcPr>
          <w:p w14:paraId="54AFBFB3" w14:textId="77777777" w:rsidR="007F4791" w:rsidRPr="00A25F2C" w:rsidRDefault="007F4791" w:rsidP="00F13D2F">
            <w:pPr>
              <w:pStyle w:val="TableBodyText"/>
              <w:jc w:val="right"/>
            </w:pPr>
            <w:r w:rsidRPr="00A25F2C">
              <w:t>(43.1)</w:t>
            </w:r>
          </w:p>
        </w:tc>
        <w:tc>
          <w:tcPr>
            <w:tcW w:w="575" w:type="pct"/>
          </w:tcPr>
          <w:p w14:paraId="755A1616" w14:textId="77777777" w:rsidR="007F4791" w:rsidRPr="00A25F2C" w:rsidRDefault="007F4791" w:rsidP="00F13D2F">
            <w:pPr>
              <w:pStyle w:val="TableBodyText"/>
              <w:jc w:val="right"/>
            </w:pPr>
            <w:r w:rsidRPr="00A25F2C">
              <w:t>(48.4)</w:t>
            </w:r>
          </w:p>
        </w:tc>
        <w:tc>
          <w:tcPr>
            <w:tcW w:w="575" w:type="pct"/>
          </w:tcPr>
          <w:p w14:paraId="1C0E3597" w14:textId="77777777" w:rsidR="007F4791" w:rsidRPr="00A25F2C" w:rsidRDefault="007F4791" w:rsidP="00F13D2F">
            <w:pPr>
              <w:pStyle w:val="TableBodyText"/>
              <w:jc w:val="right"/>
            </w:pPr>
            <w:r w:rsidRPr="00A25F2C">
              <w:t>(48.4)</w:t>
            </w:r>
          </w:p>
        </w:tc>
      </w:tr>
      <w:tr w:rsidR="00143D6B" w:rsidRPr="00A25F2C" w14:paraId="374E0CBD" w14:textId="77777777" w:rsidTr="00BA3F27">
        <w:tc>
          <w:tcPr>
            <w:tcW w:w="2125" w:type="pct"/>
          </w:tcPr>
          <w:p w14:paraId="497DF833" w14:textId="77777777" w:rsidR="007F4791" w:rsidRPr="00A25F2C" w:rsidRDefault="007F4791" w:rsidP="004E1FA1">
            <w:pPr>
              <w:pStyle w:val="TableBodyText"/>
            </w:pPr>
            <w:r w:rsidRPr="00A25F2C">
              <w:t>Other Payables</w:t>
            </w:r>
          </w:p>
        </w:tc>
        <w:tc>
          <w:tcPr>
            <w:tcW w:w="575" w:type="pct"/>
          </w:tcPr>
          <w:p w14:paraId="00A796D2" w14:textId="77777777" w:rsidR="007F4791" w:rsidRPr="00A25F2C" w:rsidRDefault="007F4791" w:rsidP="00F13D2F">
            <w:pPr>
              <w:pStyle w:val="TableBodyText"/>
              <w:jc w:val="right"/>
            </w:pPr>
            <w:r w:rsidRPr="00A25F2C">
              <w:t>(33.7)</w:t>
            </w:r>
          </w:p>
        </w:tc>
        <w:tc>
          <w:tcPr>
            <w:tcW w:w="575" w:type="pct"/>
          </w:tcPr>
          <w:p w14:paraId="3851A50C" w14:textId="77777777" w:rsidR="007F4791" w:rsidRPr="00A25F2C" w:rsidRDefault="007F4791" w:rsidP="00F13D2F">
            <w:pPr>
              <w:pStyle w:val="TableBodyText"/>
              <w:jc w:val="right"/>
            </w:pPr>
            <w:r w:rsidRPr="00A25F2C">
              <w:t>(39.2)</w:t>
            </w:r>
          </w:p>
        </w:tc>
        <w:tc>
          <w:tcPr>
            <w:tcW w:w="575" w:type="pct"/>
          </w:tcPr>
          <w:p w14:paraId="2F357E06" w14:textId="77777777" w:rsidR="007F4791" w:rsidRPr="00A25F2C" w:rsidRDefault="007F4791" w:rsidP="00F13D2F">
            <w:pPr>
              <w:pStyle w:val="TableBodyText"/>
              <w:jc w:val="right"/>
            </w:pPr>
            <w:r w:rsidRPr="00A25F2C">
              <w:t>(33.2)</w:t>
            </w:r>
          </w:p>
        </w:tc>
        <w:tc>
          <w:tcPr>
            <w:tcW w:w="575" w:type="pct"/>
          </w:tcPr>
          <w:p w14:paraId="3230881E" w14:textId="77777777" w:rsidR="007F4791" w:rsidRPr="00A25F2C" w:rsidRDefault="007F4791" w:rsidP="00F13D2F">
            <w:pPr>
              <w:pStyle w:val="TableBodyText"/>
              <w:jc w:val="right"/>
            </w:pPr>
            <w:r w:rsidRPr="00A25F2C">
              <w:t>(38.4)</w:t>
            </w:r>
          </w:p>
        </w:tc>
        <w:tc>
          <w:tcPr>
            <w:tcW w:w="575" w:type="pct"/>
          </w:tcPr>
          <w:p w14:paraId="0AE2BBDF" w14:textId="77777777" w:rsidR="007F4791" w:rsidRPr="00A25F2C" w:rsidRDefault="007F4791" w:rsidP="00F13D2F">
            <w:pPr>
              <w:pStyle w:val="TableBodyText"/>
              <w:jc w:val="right"/>
            </w:pPr>
            <w:r w:rsidRPr="00A25F2C">
              <w:t>(33.7)</w:t>
            </w:r>
          </w:p>
        </w:tc>
      </w:tr>
      <w:tr w:rsidR="00143D6B" w:rsidRPr="00A25F2C" w14:paraId="4E641A81" w14:textId="77777777" w:rsidTr="00BA3F27">
        <w:tc>
          <w:tcPr>
            <w:tcW w:w="2125" w:type="pct"/>
          </w:tcPr>
          <w:p w14:paraId="484B8760" w14:textId="77777777" w:rsidR="007F4791" w:rsidRPr="00A25F2C" w:rsidRDefault="007F4791" w:rsidP="004E1FA1">
            <w:pPr>
              <w:pStyle w:val="TableBodyText"/>
            </w:pPr>
            <w:r w:rsidRPr="00A25F2C">
              <w:t>Provision for Interest</w:t>
            </w:r>
          </w:p>
        </w:tc>
        <w:tc>
          <w:tcPr>
            <w:tcW w:w="575" w:type="pct"/>
          </w:tcPr>
          <w:p w14:paraId="14954A1D" w14:textId="77777777" w:rsidR="007F4791" w:rsidRPr="00A25F2C" w:rsidRDefault="007F4791" w:rsidP="00F13D2F">
            <w:pPr>
              <w:pStyle w:val="TableBodyText"/>
              <w:jc w:val="right"/>
            </w:pPr>
            <w:r w:rsidRPr="00A25F2C">
              <w:t>(61.4)</w:t>
            </w:r>
          </w:p>
        </w:tc>
        <w:tc>
          <w:tcPr>
            <w:tcW w:w="575" w:type="pct"/>
          </w:tcPr>
          <w:p w14:paraId="3E490504" w14:textId="77777777" w:rsidR="007F4791" w:rsidRPr="00A25F2C" w:rsidRDefault="007F4791" w:rsidP="00F13D2F">
            <w:pPr>
              <w:pStyle w:val="TableBodyText"/>
              <w:jc w:val="right"/>
            </w:pPr>
            <w:r w:rsidRPr="00A25F2C">
              <w:t>(31.0)</w:t>
            </w:r>
          </w:p>
        </w:tc>
        <w:tc>
          <w:tcPr>
            <w:tcW w:w="575" w:type="pct"/>
          </w:tcPr>
          <w:p w14:paraId="12523310" w14:textId="77777777" w:rsidR="007F4791" w:rsidRPr="00A25F2C" w:rsidRDefault="007F4791" w:rsidP="00F13D2F">
            <w:pPr>
              <w:pStyle w:val="TableBodyText"/>
              <w:jc w:val="right"/>
            </w:pPr>
            <w:r w:rsidRPr="00A25F2C">
              <w:t>(54.9)</w:t>
            </w:r>
          </w:p>
        </w:tc>
        <w:tc>
          <w:tcPr>
            <w:tcW w:w="575" w:type="pct"/>
          </w:tcPr>
          <w:p w14:paraId="767DA0A9" w14:textId="77777777" w:rsidR="007F4791" w:rsidRPr="00A25F2C" w:rsidRDefault="007F4791" w:rsidP="00F13D2F">
            <w:pPr>
              <w:pStyle w:val="TableBodyText"/>
              <w:jc w:val="right"/>
            </w:pPr>
            <w:r w:rsidRPr="00A25F2C">
              <w:t>(39.5)</w:t>
            </w:r>
          </w:p>
        </w:tc>
        <w:tc>
          <w:tcPr>
            <w:tcW w:w="575" w:type="pct"/>
          </w:tcPr>
          <w:p w14:paraId="4C8967E8" w14:textId="77777777" w:rsidR="007F4791" w:rsidRPr="00A25F2C" w:rsidRDefault="007F4791" w:rsidP="00F13D2F">
            <w:pPr>
              <w:pStyle w:val="TableBodyText"/>
              <w:jc w:val="right"/>
            </w:pPr>
            <w:r w:rsidRPr="00A25F2C">
              <w:t>(61.4)</w:t>
            </w:r>
          </w:p>
        </w:tc>
      </w:tr>
      <w:tr w:rsidR="00143D6B" w:rsidRPr="00A25F2C" w14:paraId="3A4DEB59" w14:textId="77777777" w:rsidTr="00BA3F27">
        <w:tc>
          <w:tcPr>
            <w:tcW w:w="2125" w:type="pct"/>
          </w:tcPr>
          <w:p w14:paraId="71599DED" w14:textId="77777777" w:rsidR="007F4791" w:rsidRPr="00A25F2C" w:rsidRDefault="007F4791" w:rsidP="004E1FA1">
            <w:pPr>
              <w:pStyle w:val="TableBodyText"/>
            </w:pPr>
            <w:r w:rsidRPr="00A25F2C">
              <w:t>Accruals</w:t>
            </w:r>
          </w:p>
        </w:tc>
        <w:tc>
          <w:tcPr>
            <w:tcW w:w="575" w:type="pct"/>
          </w:tcPr>
          <w:p w14:paraId="160C8FDA" w14:textId="77777777" w:rsidR="007F4791" w:rsidRPr="00A25F2C" w:rsidRDefault="007F4791" w:rsidP="00F13D2F">
            <w:pPr>
              <w:pStyle w:val="TableBodyText"/>
              <w:jc w:val="right"/>
            </w:pPr>
            <w:r w:rsidRPr="00A25F2C">
              <w:t>(249.9)</w:t>
            </w:r>
          </w:p>
        </w:tc>
        <w:tc>
          <w:tcPr>
            <w:tcW w:w="575" w:type="pct"/>
          </w:tcPr>
          <w:p w14:paraId="7AF75052" w14:textId="77777777" w:rsidR="007F4791" w:rsidRPr="00A25F2C" w:rsidRDefault="007F4791" w:rsidP="00F13D2F">
            <w:pPr>
              <w:pStyle w:val="TableBodyText"/>
              <w:jc w:val="right"/>
            </w:pPr>
            <w:r w:rsidRPr="00A25F2C">
              <w:t>(264.7)</w:t>
            </w:r>
          </w:p>
        </w:tc>
        <w:tc>
          <w:tcPr>
            <w:tcW w:w="575" w:type="pct"/>
          </w:tcPr>
          <w:p w14:paraId="7CD1477B" w14:textId="77777777" w:rsidR="007F4791" w:rsidRPr="00A25F2C" w:rsidRDefault="007F4791" w:rsidP="00F13D2F">
            <w:pPr>
              <w:pStyle w:val="TableBodyText"/>
              <w:jc w:val="right"/>
            </w:pPr>
            <w:r w:rsidRPr="00A25F2C">
              <w:t>(257.6)</w:t>
            </w:r>
          </w:p>
        </w:tc>
        <w:tc>
          <w:tcPr>
            <w:tcW w:w="575" w:type="pct"/>
          </w:tcPr>
          <w:p w14:paraId="03B036E5" w14:textId="77777777" w:rsidR="007F4791" w:rsidRPr="00A25F2C" w:rsidRDefault="007F4791" w:rsidP="00F13D2F">
            <w:pPr>
              <w:pStyle w:val="TableBodyText"/>
              <w:jc w:val="right"/>
            </w:pPr>
            <w:r w:rsidRPr="00A25F2C">
              <w:t>(253.3)</w:t>
            </w:r>
          </w:p>
        </w:tc>
        <w:tc>
          <w:tcPr>
            <w:tcW w:w="575" w:type="pct"/>
          </w:tcPr>
          <w:p w14:paraId="1A369063" w14:textId="77777777" w:rsidR="007F4791" w:rsidRPr="00A25F2C" w:rsidRDefault="007F4791" w:rsidP="00F13D2F">
            <w:pPr>
              <w:pStyle w:val="TableBodyText"/>
              <w:jc w:val="right"/>
            </w:pPr>
            <w:r w:rsidRPr="00A25F2C">
              <w:t>(249.9)</w:t>
            </w:r>
          </w:p>
        </w:tc>
      </w:tr>
      <w:tr w:rsidR="00143D6B" w:rsidRPr="00A25F2C" w14:paraId="10DBA381" w14:textId="77777777" w:rsidTr="00BA3F27">
        <w:tc>
          <w:tcPr>
            <w:tcW w:w="2125" w:type="pct"/>
          </w:tcPr>
          <w:p w14:paraId="5A4A96D0" w14:textId="77777777" w:rsidR="007F4791" w:rsidRPr="00A25F2C" w:rsidRDefault="007F4791" w:rsidP="004E1FA1">
            <w:pPr>
              <w:pStyle w:val="TableBodyText"/>
            </w:pPr>
            <w:r w:rsidRPr="00A25F2C">
              <w:t>Unearned Developer Contributions</w:t>
            </w:r>
          </w:p>
        </w:tc>
        <w:tc>
          <w:tcPr>
            <w:tcW w:w="575" w:type="pct"/>
          </w:tcPr>
          <w:p w14:paraId="7A888F76" w14:textId="77777777" w:rsidR="007F4791" w:rsidRPr="00A25F2C" w:rsidRDefault="007F4791" w:rsidP="00F13D2F">
            <w:pPr>
              <w:pStyle w:val="TableBodyText"/>
              <w:jc w:val="right"/>
            </w:pPr>
            <w:r w:rsidRPr="00A25F2C">
              <w:t>(92.5)</w:t>
            </w:r>
          </w:p>
        </w:tc>
        <w:tc>
          <w:tcPr>
            <w:tcW w:w="575" w:type="pct"/>
          </w:tcPr>
          <w:p w14:paraId="63F4A344" w14:textId="77777777" w:rsidR="007F4791" w:rsidRPr="00A25F2C" w:rsidRDefault="007F4791" w:rsidP="00F13D2F">
            <w:pPr>
              <w:pStyle w:val="TableBodyText"/>
              <w:jc w:val="right"/>
            </w:pPr>
            <w:r w:rsidRPr="00A25F2C">
              <w:t>(92.5)</w:t>
            </w:r>
          </w:p>
        </w:tc>
        <w:tc>
          <w:tcPr>
            <w:tcW w:w="575" w:type="pct"/>
          </w:tcPr>
          <w:p w14:paraId="3B285C38" w14:textId="77777777" w:rsidR="007F4791" w:rsidRPr="00A25F2C" w:rsidRDefault="007F4791" w:rsidP="00F13D2F">
            <w:pPr>
              <w:pStyle w:val="TableBodyText"/>
              <w:jc w:val="right"/>
            </w:pPr>
            <w:r w:rsidRPr="00A25F2C">
              <w:t>(92.5)</w:t>
            </w:r>
          </w:p>
        </w:tc>
        <w:tc>
          <w:tcPr>
            <w:tcW w:w="575" w:type="pct"/>
          </w:tcPr>
          <w:p w14:paraId="16669521" w14:textId="77777777" w:rsidR="007F4791" w:rsidRPr="00A25F2C" w:rsidRDefault="007F4791" w:rsidP="00F13D2F">
            <w:pPr>
              <w:pStyle w:val="TableBodyText"/>
              <w:jc w:val="right"/>
            </w:pPr>
            <w:r w:rsidRPr="00A25F2C">
              <w:t>(92.5)</w:t>
            </w:r>
          </w:p>
        </w:tc>
        <w:tc>
          <w:tcPr>
            <w:tcW w:w="575" w:type="pct"/>
          </w:tcPr>
          <w:p w14:paraId="7873E315" w14:textId="77777777" w:rsidR="007F4791" w:rsidRPr="00A25F2C" w:rsidRDefault="007F4791" w:rsidP="00F13D2F">
            <w:pPr>
              <w:pStyle w:val="TableBodyText"/>
              <w:jc w:val="right"/>
            </w:pPr>
            <w:r w:rsidRPr="00A25F2C">
              <w:t>(92.5)</w:t>
            </w:r>
          </w:p>
        </w:tc>
      </w:tr>
      <w:tr w:rsidR="00143D6B" w:rsidRPr="00A25F2C" w14:paraId="214CE409" w14:textId="77777777" w:rsidTr="00BA3F27">
        <w:tc>
          <w:tcPr>
            <w:tcW w:w="2125" w:type="pct"/>
          </w:tcPr>
          <w:p w14:paraId="551C3D8A" w14:textId="77777777" w:rsidR="007F4791" w:rsidRPr="00A25F2C" w:rsidRDefault="007F4791" w:rsidP="004E1FA1">
            <w:pPr>
              <w:pStyle w:val="TableBodyText"/>
            </w:pPr>
            <w:r w:rsidRPr="00A25F2C">
              <w:lastRenderedPageBreak/>
              <w:t>VDP Service Concession</w:t>
            </w:r>
          </w:p>
        </w:tc>
        <w:tc>
          <w:tcPr>
            <w:tcW w:w="575" w:type="pct"/>
          </w:tcPr>
          <w:p w14:paraId="3771C162" w14:textId="77777777" w:rsidR="007F4791" w:rsidRPr="00A25F2C" w:rsidRDefault="007F4791" w:rsidP="00F13D2F">
            <w:pPr>
              <w:pStyle w:val="TableBodyText"/>
              <w:jc w:val="right"/>
            </w:pPr>
            <w:r w:rsidRPr="00A25F2C">
              <w:t>(59.9)</w:t>
            </w:r>
          </w:p>
        </w:tc>
        <w:tc>
          <w:tcPr>
            <w:tcW w:w="575" w:type="pct"/>
          </w:tcPr>
          <w:p w14:paraId="221495CF" w14:textId="77777777" w:rsidR="007F4791" w:rsidRPr="00A25F2C" w:rsidRDefault="007F4791" w:rsidP="00F13D2F">
            <w:pPr>
              <w:pStyle w:val="TableBodyText"/>
              <w:jc w:val="right"/>
            </w:pPr>
            <w:r w:rsidRPr="00A25F2C">
              <w:t>(51.2)</w:t>
            </w:r>
          </w:p>
        </w:tc>
        <w:tc>
          <w:tcPr>
            <w:tcW w:w="575" w:type="pct"/>
          </w:tcPr>
          <w:p w14:paraId="0AC3EB70" w14:textId="77777777" w:rsidR="007F4791" w:rsidRPr="00A25F2C" w:rsidRDefault="007F4791" w:rsidP="00F13D2F">
            <w:pPr>
              <w:pStyle w:val="TableBodyText"/>
              <w:jc w:val="right"/>
            </w:pPr>
            <w:r w:rsidRPr="00A25F2C">
              <w:t>(54.3)</w:t>
            </w:r>
          </w:p>
        </w:tc>
        <w:tc>
          <w:tcPr>
            <w:tcW w:w="575" w:type="pct"/>
          </w:tcPr>
          <w:p w14:paraId="192BD4DF" w14:textId="77777777" w:rsidR="007F4791" w:rsidRPr="00A25F2C" w:rsidRDefault="007F4791" w:rsidP="00F13D2F">
            <w:pPr>
              <w:pStyle w:val="TableBodyText"/>
              <w:jc w:val="right"/>
            </w:pPr>
            <w:r w:rsidRPr="00A25F2C">
              <w:t>(57.4)</w:t>
            </w:r>
          </w:p>
        </w:tc>
        <w:tc>
          <w:tcPr>
            <w:tcW w:w="575" w:type="pct"/>
          </w:tcPr>
          <w:p w14:paraId="419236CB" w14:textId="77777777" w:rsidR="007F4791" w:rsidRPr="00A25F2C" w:rsidRDefault="007F4791" w:rsidP="00F13D2F">
            <w:pPr>
              <w:pStyle w:val="TableBodyText"/>
              <w:jc w:val="right"/>
            </w:pPr>
            <w:r w:rsidRPr="00A25F2C">
              <w:t>(59.9)</w:t>
            </w:r>
          </w:p>
        </w:tc>
      </w:tr>
      <w:tr w:rsidR="00143D6B" w:rsidRPr="00A25F2C" w14:paraId="62D8303F" w14:textId="77777777" w:rsidTr="00BA3F27">
        <w:tc>
          <w:tcPr>
            <w:tcW w:w="2125" w:type="pct"/>
          </w:tcPr>
          <w:p w14:paraId="1DD50264" w14:textId="77777777" w:rsidR="007F4791" w:rsidRPr="00A25F2C" w:rsidRDefault="007F4791" w:rsidP="004E1FA1">
            <w:pPr>
              <w:pStyle w:val="TableBodyText"/>
            </w:pPr>
            <w:r w:rsidRPr="00A25F2C">
              <w:t>Lease Liabilities</w:t>
            </w:r>
          </w:p>
        </w:tc>
        <w:tc>
          <w:tcPr>
            <w:tcW w:w="575" w:type="pct"/>
          </w:tcPr>
          <w:p w14:paraId="0FC976FF" w14:textId="77777777" w:rsidR="007F4791" w:rsidRPr="00A25F2C" w:rsidRDefault="007F4791" w:rsidP="00F13D2F">
            <w:pPr>
              <w:pStyle w:val="TableBodyText"/>
              <w:jc w:val="right"/>
            </w:pPr>
            <w:r w:rsidRPr="00A25F2C">
              <w:t>(8.4)</w:t>
            </w:r>
          </w:p>
        </w:tc>
        <w:tc>
          <w:tcPr>
            <w:tcW w:w="575" w:type="pct"/>
          </w:tcPr>
          <w:p w14:paraId="3EE6BEBF" w14:textId="77777777" w:rsidR="007F4791" w:rsidRPr="00A25F2C" w:rsidRDefault="007F4791" w:rsidP="00F13D2F">
            <w:pPr>
              <w:pStyle w:val="TableBodyText"/>
              <w:jc w:val="right"/>
            </w:pPr>
            <w:r w:rsidRPr="00A25F2C">
              <w:t>(8.0)</w:t>
            </w:r>
          </w:p>
        </w:tc>
        <w:tc>
          <w:tcPr>
            <w:tcW w:w="575" w:type="pct"/>
          </w:tcPr>
          <w:p w14:paraId="35308260" w14:textId="77777777" w:rsidR="007F4791" w:rsidRPr="00A25F2C" w:rsidRDefault="007F4791" w:rsidP="00F13D2F">
            <w:pPr>
              <w:pStyle w:val="TableBodyText"/>
              <w:jc w:val="right"/>
            </w:pPr>
            <w:r w:rsidRPr="00A25F2C">
              <w:t>(8.1)</w:t>
            </w:r>
          </w:p>
        </w:tc>
        <w:tc>
          <w:tcPr>
            <w:tcW w:w="575" w:type="pct"/>
          </w:tcPr>
          <w:p w14:paraId="21066050" w14:textId="77777777" w:rsidR="007F4791" w:rsidRPr="00A25F2C" w:rsidRDefault="007F4791" w:rsidP="00F13D2F">
            <w:pPr>
              <w:pStyle w:val="TableBodyText"/>
              <w:jc w:val="right"/>
            </w:pPr>
            <w:r w:rsidRPr="00A25F2C">
              <w:t>(8.2)</w:t>
            </w:r>
          </w:p>
        </w:tc>
        <w:tc>
          <w:tcPr>
            <w:tcW w:w="575" w:type="pct"/>
          </w:tcPr>
          <w:p w14:paraId="0CA9A2D3" w14:textId="77777777" w:rsidR="007F4791" w:rsidRPr="00A25F2C" w:rsidRDefault="007F4791" w:rsidP="00F13D2F">
            <w:pPr>
              <w:pStyle w:val="TableBodyText"/>
              <w:jc w:val="right"/>
            </w:pPr>
            <w:r w:rsidRPr="00A25F2C">
              <w:t>(8.4)</w:t>
            </w:r>
          </w:p>
        </w:tc>
      </w:tr>
      <w:tr w:rsidR="00143D6B" w:rsidRPr="00A25F2C" w14:paraId="252821E3" w14:textId="77777777" w:rsidTr="00BA3F27">
        <w:tc>
          <w:tcPr>
            <w:tcW w:w="2125" w:type="pct"/>
          </w:tcPr>
          <w:p w14:paraId="1ABFD88D" w14:textId="77777777" w:rsidR="007F4791" w:rsidRPr="00A25F2C" w:rsidRDefault="007F4791" w:rsidP="004E1FA1">
            <w:pPr>
              <w:pStyle w:val="TableBodyText"/>
            </w:pPr>
            <w:r w:rsidRPr="00A25F2C">
              <w:t>Borrowings</w:t>
            </w:r>
          </w:p>
        </w:tc>
        <w:tc>
          <w:tcPr>
            <w:tcW w:w="575" w:type="pct"/>
          </w:tcPr>
          <w:p w14:paraId="4CE34FC5" w14:textId="77777777" w:rsidR="007F4791" w:rsidRPr="00A25F2C" w:rsidRDefault="007F4791" w:rsidP="00F13D2F">
            <w:pPr>
              <w:pStyle w:val="TableBodyText"/>
              <w:jc w:val="right"/>
            </w:pPr>
            <w:r w:rsidRPr="00A25F2C">
              <w:t>(604.0)</w:t>
            </w:r>
          </w:p>
        </w:tc>
        <w:tc>
          <w:tcPr>
            <w:tcW w:w="575" w:type="pct"/>
          </w:tcPr>
          <w:p w14:paraId="47781B66" w14:textId="77777777" w:rsidR="007F4791" w:rsidRPr="00A25F2C" w:rsidRDefault="007F4791" w:rsidP="00F13D2F">
            <w:pPr>
              <w:pStyle w:val="TableBodyText"/>
              <w:jc w:val="right"/>
            </w:pPr>
            <w:r w:rsidRPr="00A25F2C">
              <w:t>(621.9)</w:t>
            </w:r>
          </w:p>
        </w:tc>
        <w:tc>
          <w:tcPr>
            <w:tcW w:w="575" w:type="pct"/>
          </w:tcPr>
          <w:p w14:paraId="65BFE1EF" w14:textId="77777777" w:rsidR="007F4791" w:rsidRPr="00A25F2C" w:rsidRDefault="007F4791" w:rsidP="00F13D2F">
            <w:pPr>
              <w:pStyle w:val="TableBodyText"/>
              <w:jc w:val="right"/>
            </w:pPr>
            <w:r w:rsidRPr="00A25F2C">
              <w:t>(702.4)</w:t>
            </w:r>
          </w:p>
        </w:tc>
        <w:tc>
          <w:tcPr>
            <w:tcW w:w="575" w:type="pct"/>
          </w:tcPr>
          <w:p w14:paraId="0D4B6B6A" w14:textId="77777777" w:rsidR="007F4791" w:rsidRPr="00A25F2C" w:rsidRDefault="007F4791" w:rsidP="00F13D2F">
            <w:pPr>
              <w:pStyle w:val="TableBodyText"/>
              <w:jc w:val="right"/>
            </w:pPr>
            <w:r w:rsidRPr="00A25F2C">
              <w:t>(629.8)</w:t>
            </w:r>
          </w:p>
        </w:tc>
        <w:tc>
          <w:tcPr>
            <w:tcW w:w="575" w:type="pct"/>
          </w:tcPr>
          <w:p w14:paraId="21646FF7" w14:textId="77777777" w:rsidR="007F4791" w:rsidRPr="00A25F2C" w:rsidRDefault="007F4791" w:rsidP="00F13D2F">
            <w:pPr>
              <w:pStyle w:val="TableBodyText"/>
              <w:jc w:val="right"/>
            </w:pPr>
            <w:r w:rsidRPr="00A25F2C">
              <w:t>(604.0)</w:t>
            </w:r>
          </w:p>
        </w:tc>
      </w:tr>
      <w:tr w:rsidR="00143D6B" w:rsidRPr="00A25F2C" w14:paraId="0038D289" w14:textId="77777777" w:rsidTr="00BA3F27">
        <w:tc>
          <w:tcPr>
            <w:tcW w:w="2125" w:type="pct"/>
          </w:tcPr>
          <w:p w14:paraId="0FA8BC10" w14:textId="77777777" w:rsidR="007F4791" w:rsidRPr="00A25F2C" w:rsidRDefault="007F4791" w:rsidP="004E1FA1">
            <w:pPr>
              <w:pStyle w:val="TableBodyText"/>
            </w:pPr>
            <w:r w:rsidRPr="00A25F2C">
              <w:t>Employee Entitlements</w:t>
            </w:r>
          </w:p>
        </w:tc>
        <w:tc>
          <w:tcPr>
            <w:tcW w:w="575" w:type="pct"/>
          </w:tcPr>
          <w:p w14:paraId="574366F0" w14:textId="77777777" w:rsidR="007F4791" w:rsidRPr="00A25F2C" w:rsidRDefault="007F4791" w:rsidP="00F13D2F">
            <w:pPr>
              <w:pStyle w:val="TableBodyText"/>
              <w:jc w:val="right"/>
            </w:pPr>
            <w:r w:rsidRPr="00A25F2C">
              <w:t>(49.2)</w:t>
            </w:r>
          </w:p>
        </w:tc>
        <w:tc>
          <w:tcPr>
            <w:tcW w:w="575" w:type="pct"/>
          </w:tcPr>
          <w:p w14:paraId="4FD0D6B5" w14:textId="77777777" w:rsidR="007F4791" w:rsidRPr="00A25F2C" w:rsidRDefault="007F4791" w:rsidP="00F13D2F">
            <w:pPr>
              <w:pStyle w:val="TableBodyText"/>
              <w:jc w:val="right"/>
            </w:pPr>
            <w:r w:rsidRPr="00A25F2C">
              <w:t>(50.3)</w:t>
            </w:r>
          </w:p>
        </w:tc>
        <w:tc>
          <w:tcPr>
            <w:tcW w:w="575" w:type="pct"/>
          </w:tcPr>
          <w:p w14:paraId="19C9CF93" w14:textId="77777777" w:rsidR="007F4791" w:rsidRPr="00A25F2C" w:rsidRDefault="007F4791" w:rsidP="00F13D2F">
            <w:pPr>
              <w:pStyle w:val="TableBodyText"/>
              <w:jc w:val="right"/>
            </w:pPr>
            <w:r w:rsidRPr="00A25F2C">
              <w:t>(50.3)</w:t>
            </w:r>
          </w:p>
        </w:tc>
        <w:tc>
          <w:tcPr>
            <w:tcW w:w="575" w:type="pct"/>
          </w:tcPr>
          <w:p w14:paraId="6E2CEA81" w14:textId="77777777" w:rsidR="007F4791" w:rsidRPr="00A25F2C" w:rsidRDefault="007F4791" w:rsidP="00F13D2F">
            <w:pPr>
              <w:pStyle w:val="TableBodyText"/>
              <w:jc w:val="right"/>
            </w:pPr>
            <w:r w:rsidRPr="00A25F2C">
              <w:t>(48.3)</w:t>
            </w:r>
          </w:p>
        </w:tc>
        <w:tc>
          <w:tcPr>
            <w:tcW w:w="575" w:type="pct"/>
          </w:tcPr>
          <w:p w14:paraId="4C2D483B" w14:textId="77777777" w:rsidR="007F4791" w:rsidRPr="00A25F2C" w:rsidRDefault="007F4791" w:rsidP="00F13D2F">
            <w:pPr>
              <w:pStyle w:val="TableBodyText"/>
              <w:jc w:val="right"/>
            </w:pPr>
            <w:r w:rsidRPr="00A25F2C">
              <w:t>(49.2)</w:t>
            </w:r>
          </w:p>
        </w:tc>
      </w:tr>
      <w:tr w:rsidR="00143D6B" w:rsidRPr="00A25F2C" w14:paraId="460BBFCE" w14:textId="77777777" w:rsidTr="00BA3F27">
        <w:tc>
          <w:tcPr>
            <w:tcW w:w="2125" w:type="pct"/>
          </w:tcPr>
          <w:p w14:paraId="1EF16FBE" w14:textId="77777777" w:rsidR="007F4791" w:rsidRPr="00A25F2C" w:rsidRDefault="007F4791" w:rsidP="004E1FA1">
            <w:pPr>
              <w:pStyle w:val="TableBodyText"/>
            </w:pPr>
            <w:r w:rsidRPr="00A25F2C">
              <w:t>Other Current Liabilities</w:t>
            </w:r>
          </w:p>
        </w:tc>
        <w:tc>
          <w:tcPr>
            <w:tcW w:w="575" w:type="pct"/>
          </w:tcPr>
          <w:p w14:paraId="2F5898AE" w14:textId="77777777" w:rsidR="007F4791" w:rsidRPr="00A25F2C" w:rsidRDefault="007F4791" w:rsidP="00F13D2F">
            <w:pPr>
              <w:pStyle w:val="TableBodyText"/>
              <w:jc w:val="right"/>
            </w:pPr>
            <w:r w:rsidRPr="00A25F2C">
              <w:t>(18.9)</w:t>
            </w:r>
          </w:p>
        </w:tc>
        <w:tc>
          <w:tcPr>
            <w:tcW w:w="575" w:type="pct"/>
          </w:tcPr>
          <w:p w14:paraId="74E6061A" w14:textId="77777777" w:rsidR="007F4791" w:rsidRPr="00A25F2C" w:rsidRDefault="007F4791" w:rsidP="00F13D2F">
            <w:pPr>
              <w:pStyle w:val="TableBodyText"/>
              <w:jc w:val="right"/>
            </w:pPr>
            <w:r w:rsidRPr="00A25F2C">
              <w:t>(21.9)</w:t>
            </w:r>
          </w:p>
        </w:tc>
        <w:tc>
          <w:tcPr>
            <w:tcW w:w="575" w:type="pct"/>
          </w:tcPr>
          <w:p w14:paraId="37850ACF" w14:textId="77777777" w:rsidR="007F4791" w:rsidRPr="00A25F2C" w:rsidRDefault="007F4791" w:rsidP="00F13D2F">
            <w:pPr>
              <w:pStyle w:val="TableBodyText"/>
              <w:jc w:val="right"/>
            </w:pPr>
            <w:r w:rsidRPr="00A25F2C">
              <w:t>(20.6)</w:t>
            </w:r>
          </w:p>
        </w:tc>
        <w:tc>
          <w:tcPr>
            <w:tcW w:w="575" w:type="pct"/>
          </w:tcPr>
          <w:p w14:paraId="05FC6851" w14:textId="77777777" w:rsidR="007F4791" w:rsidRPr="00A25F2C" w:rsidRDefault="007F4791" w:rsidP="00F13D2F">
            <w:pPr>
              <w:pStyle w:val="TableBodyText"/>
              <w:jc w:val="right"/>
            </w:pPr>
            <w:r w:rsidRPr="00A25F2C">
              <w:t>(20.7)</w:t>
            </w:r>
          </w:p>
        </w:tc>
        <w:tc>
          <w:tcPr>
            <w:tcW w:w="575" w:type="pct"/>
          </w:tcPr>
          <w:p w14:paraId="3F3A98FC" w14:textId="77777777" w:rsidR="007F4791" w:rsidRPr="00A25F2C" w:rsidRDefault="007F4791" w:rsidP="00F13D2F">
            <w:pPr>
              <w:pStyle w:val="TableBodyText"/>
              <w:jc w:val="right"/>
            </w:pPr>
            <w:r w:rsidRPr="00A25F2C">
              <w:t>(18.9)</w:t>
            </w:r>
          </w:p>
        </w:tc>
      </w:tr>
      <w:tr w:rsidR="00143D6B" w:rsidRPr="00A25F2C" w14:paraId="5A9FB1AC" w14:textId="77777777" w:rsidTr="00BA3F27">
        <w:tc>
          <w:tcPr>
            <w:tcW w:w="2125" w:type="pct"/>
          </w:tcPr>
          <w:p w14:paraId="4BCA2DE2" w14:textId="77777777" w:rsidR="007F4791" w:rsidRPr="00A25F2C" w:rsidRDefault="007F4791" w:rsidP="004E1FA1">
            <w:pPr>
              <w:pStyle w:val="TableBodyText"/>
            </w:pPr>
            <w:r w:rsidRPr="00A25F2C">
              <w:rPr>
                <w:b/>
              </w:rPr>
              <w:t>Total Current Liabilities</w:t>
            </w:r>
          </w:p>
        </w:tc>
        <w:tc>
          <w:tcPr>
            <w:tcW w:w="575" w:type="pct"/>
          </w:tcPr>
          <w:p w14:paraId="264F0E18" w14:textId="77777777" w:rsidR="007F4791" w:rsidRPr="00A25F2C" w:rsidRDefault="007F4791" w:rsidP="00F13D2F">
            <w:pPr>
              <w:pStyle w:val="TableBodyText"/>
              <w:jc w:val="right"/>
            </w:pPr>
            <w:r w:rsidRPr="00A25F2C">
              <w:rPr>
                <w:b/>
              </w:rPr>
              <w:t>(1,226.3)</w:t>
            </w:r>
          </w:p>
        </w:tc>
        <w:tc>
          <w:tcPr>
            <w:tcW w:w="575" w:type="pct"/>
          </w:tcPr>
          <w:p w14:paraId="41DC8423" w14:textId="77777777" w:rsidR="007F4791" w:rsidRPr="00A25F2C" w:rsidRDefault="007F4791" w:rsidP="00F13D2F">
            <w:pPr>
              <w:pStyle w:val="TableBodyText"/>
              <w:jc w:val="right"/>
            </w:pPr>
            <w:r w:rsidRPr="00A25F2C">
              <w:rPr>
                <w:b/>
              </w:rPr>
              <w:t>(1,224.9)</w:t>
            </w:r>
          </w:p>
        </w:tc>
        <w:tc>
          <w:tcPr>
            <w:tcW w:w="575" w:type="pct"/>
          </w:tcPr>
          <w:p w14:paraId="43C60F40" w14:textId="77777777" w:rsidR="007F4791" w:rsidRPr="00A25F2C" w:rsidRDefault="007F4791" w:rsidP="00F13D2F">
            <w:pPr>
              <w:pStyle w:val="TableBodyText"/>
              <w:jc w:val="right"/>
            </w:pPr>
            <w:r w:rsidRPr="00A25F2C">
              <w:rPr>
                <w:b/>
              </w:rPr>
              <w:t>(1,317.0)</w:t>
            </w:r>
          </w:p>
        </w:tc>
        <w:tc>
          <w:tcPr>
            <w:tcW w:w="575" w:type="pct"/>
          </w:tcPr>
          <w:p w14:paraId="2043F09B" w14:textId="77777777" w:rsidR="007F4791" w:rsidRPr="00A25F2C" w:rsidRDefault="007F4791" w:rsidP="00F13D2F">
            <w:pPr>
              <w:pStyle w:val="TableBodyText"/>
              <w:jc w:val="right"/>
            </w:pPr>
            <w:r w:rsidRPr="00A25F2C">
              <w:rPr>
                <w:b/>
              </w:rPr>
              <w:t>(1,236.5)</w:t>
            </w:r>
          </w:p>
        </w:tc>
        <w:tc>
          <w:tcPr>
            <w:tcW w:w="575" w:type="pct"/>
          </w:tcPr>
          <w:p w14:paraId="6972226D" w14:textId="77777777" w:rsidR="007F4791" w:rsidRPr="00A25F2C" w:rsidRDefault="007F4791" w:rsidP="00F13D2F">
            <w:pPr>
              <w:pStyle w:val="TableBodyText"/>
              <w:jc w:val="right"/>
              <w:rPr>
                <w:b/>
              </w:rPr>
            </w:pPr>
            <w:r w:rsidRPr="00A25F2C">
              <w:rPr>
                <w:b/>
              </w:rPr>
              <w:t>(1,226.3)</w:t>
            </w:r>
          </w:p>
        </w:tc>
      </w:tr>
      <w:tr w:rsidR="00143D6B" w:rsidRPr="00A25F2C" w14:paraId="2051BF4D" w14:textId="77777777" w:rsidTr="00BA3F27">
        <w:tc>
          <w:tcPr>
            <w:tcW w:w="2125" w:type="pct"/>
          </w:tcPr>
          <w:p w14:paraId="3B6FF9E9" w14:textId="77777777" w:rsidR="007F4791" w:rsidRPr="00A25F2C" w:rsidRDefault="007F4791" w:rsidP="004E1FA1">
            <w:pPr>
              <w:pStyle w:val="TableBodyText"/>
              <w:rPr>
                <w:b/>
              </w:rPr>
            </w:pPr>
            <w:r w:rsidRPr="00A25F2C">
              <w:rPr>
                <w:b/>
              </w:rPr>
              <w:t>Non-Current Liabilities</w:t>
            </w:r>
          </w:p>
        </w:tc>
        <w:tc>
          <w:tcPr>
            <w:tcW w:w="575" w:type="pct"/>
          </w:tcPr>
          <w:p w14:paraId="51D34519" w14:textId="1A8BBEB7" w:rsidR="007F4791" w:rsidRPr="00A25F2C" w:rsidRDefault="00995D31" w:rsidP="00F13D2F">
            <w:pPr>
              <w:spacing w:before="0" w:after="0"/>
              <w:jc w:val="right"/>
            </w:pPr>
            <w:r>
              <w:t>N/A</w:t>
            </w:r>
          </w:p>
        </w:tc>
        <w:tc>
          <w:tcPr>
            <w:tcW w:w="575" w:type="pct"/>
          </w:tcPr>
          <w:p w14:paraId="310EA7AD" w14:textId="32A1F693" w:rsidR="007F4791" w:rsidRPr="00A25F2C" w:rsidRDefault="00995D31" w:rsidP="00F13D2F">
            <w:pPr>
              <w:spacing w:before="0" w:after="0"/>
              <w:jc w:val="right"/>
            </w:pPr>
            <w:r>
              <w:t>N/A</w:t>
            </w:r>
          </w:p>
        </w:tc>
        <w:tc>
          <w:tcPr>
            <w:tcW w:w="575" w:type="pct"/>
          </w:tcPr>
          <w:p w14:paraId="1A43584A" w14:textId="7E91A5FD" w:rsidR="007F4791" w:rsidRPr="00A25F2C" w:rsidRDefault="00995D31" w:rsidP="00F13D2F">
            <w:pPr>
              <w:spacing w:before="0" w:after="0"/>
              <w:jc w:val="right"/>
            </w:pPr>
            <w:r>
              <w:t>N/A</w:t>
            </w:r>
          </w:p>
        </w:tc>
        <w:tc>
          <w:tcPr>
            <w:tcW w:w="575" w:type="pct"/>
          </w:tcPr>
          <w:p w14:paraId="249ECA74" w14:textId="0EB3EB0F" w:rsidR="007F4791" w:rsidRPr="00A25F2C" w:rsidRDefault="00995D31" w:rsidP="00F13D2F">
            <w:pPr>
              <w:spacing w:before="0" w:after="0"/>
              <w:jc w:val="right"/>
            </w:pPr>
            <w:r>
              <w:t>N/A</w:t>
            </w:r>
          </w:p>
        </w:tc>
        <w:tc>
          <w:tcPr>
            <w:tcW w:w="575" w:type="pct"/>
          </w:tcPr>
          <w:p w14:paraId="7AC98720" w14:textId="5E550B5C" w:rsidR="007F4791" w:rsidRPr="00A25F2C" w:rsidRDefault="00995D31" w:rsidP="00F13D2F">
            <w:pPr>
              <w:pStyle w:val="TableBodyText"/>
              <w:jc w:val="right"/>
            </w:pPr>
            <w:r>
              <w:t>N/A</w:t>
            </w:r>
          </w:p>
        </w:tc>
      </w:tr>
      <w:tr w:rsidR="00143D6B" w:rsidRPr="00A25F2C" w14:paraId="09CFBF0C" w14:textId="77777777" w:rsidTr="00BA3F27">
        <w:tc>
          <w:tcPr>
            <w:tcW w:w="2125" w:type="pct"/>
          </w:tcPr>
          <w:p w14:paraId="7B24BD5E" w14:textId="77777777" w:rsidR="007F4791" w:rsidRPr="00A25F2C" w:rsidRDefault="007F4791" w:rsidP="004E1FA1">
            <w:pPr>
              <w:pStyle w:val="TableBodyText"/>
            </w:pPr>
            <w:r w:rsidRPr="00A25F2C">
              <w:t>VDP Service Concession</w:t>
            </w:r>
          </w:p>
        </w:tc>
        <w:tc>
          <w:tcPr>
            <w:tcW w:w="575" w:type="pct"/>
          </w:tcPr>
          <w:p w14:paraId="4B81BB87" w14:textId="77777777" w:rsidR="007F4791" w:rsidRPr="00A25F2C" w:rsidRDefault="007F4791" w:rsidP="00F13D2F">
            <w:pPr>
              <w:pStyle w:val="TableBodyText"/>
              <w:jc w:val="right"/>
            </w:pPr>
            <w:r w:rsidRPr="00A25F2C">
              <w:t>(3,404.8)</w:t>
            </w:r>
          </w:p>
        </w:tc>
        <w:tc>
          <w:tcPr>
            <w:tcW w:w="575" w:type="pct"/>
          </w:tcPr>
          <w:p w14:paraId="4B0417F6" w14:textId="77777777" w:rsidR="007F4791" w:rsidRPr="00A25F2C" w:rsidRDefault="007F4791" w:rsidP="00F13D2F">
            <w:pPr>
              <w:pStyle w:val="TableBodyText"/>
              <w:jc w:val="right"/>
            </w:pPr>
            <w:r w:rsidRPr="00A25F2C">
              <w:t>(3,450.8)</w:t>
            </w:r>
          </w:p>
        </w:tc>
        <w:tc>
          <w:tcPr>
            <w:tcW w:w="575" w:type="pct"/>
          </w:tcPr>
          <w:p w14:paraId="7718241C" w14:textId="77777777" w:rsidR="007F4791" w:rsidRPr="00A25F2C" w:rsidRDefault="007F4791" w:rsidP="00F13D2F">
            <w:pPr>
              <w:pStyle w:val="TableBodyText"/>
              <w:jc w:val="right"/>
            </w:pPr>
            <w:r w:rsidRPr="00A25F2C">
              <w:t>(3,436.2)</w:t>
            </w:r>
          </w:p>
        </w:tc>
        <w:tc>
          <w:tcPr>
            <w:tcW w:w="575" w:type="pct"/>
          </w:tcPr>
          <w:p w14:paraId="742E4E04" w14:textId="77777777" w:rsidR="007F4791" w:rsidRPr="00A25F2C" w:rsidRDefault="007F4791" w:rsidP="00F13D2F">
            <w:pPr>
              <w:pStyle w:val="TableBodyText"/>
              <w:jc w:val="right"/>
            </w:pPr>
            <w:r w:rsidRPr="00A25F2C">
              <w:t>(3,420.8)</w:t>
            </w:r>
          </w:p>
        </w:tc>
        <w:tc>
          <w:tcPr>
            <w:tcW w:w="575" w:type="pct"/>
          </w:tcPr>
          <w:p w14:paraId="2F73D56F" w14:textId="77777777" w:rsidR="007F4791" w:rsidRPr="00A25F2C" w:rsidRDefault="007F4791" w:rsidP="00F13D2F">
            <w:pPr>
              <w:pStyle w:val="TableBodyText"/>
              <w:jc w:val="right"/>
            </w:pPr>
            <w:r w:rsidRPr="00A25F2C">
              <w:t>(3,404.8)</w:t>
            </w:r>
          </w:p>
        </w:tc>
      </w:tr>
      <w:tr w:rsidR="00143D6B" w:rsidRPr="00A25F2C" w14:paraId="3223EB04" w14:textId="77777777" w:rsidTr="00BA3F27">
        <w:tc>
          <w:tcPr>
            <w:tcW w:w="2125" w:type="pct"/>
          </w:tcPr>
          <w:p w14:paraId="01E0D9EC" w14:textId="77777777" w:rsidR="007F4791" w:rsidRPr="00A25F2C" w:rsidRDefault="007F4791" w:rsidP="004E1FA1">
            <w:pPr>
              <w:pStyle w:val="TableBodyText"/>
            </w:pPr>
            <w:r w:rsidRPr="00A25F2C">
              <w:t>Lease Liabilities</w:t>
            </w:r>
          </w:p>
        </w:tc>
        <w:tc>
          <w:tcPr>
            <w:tcW w:w="575" w:type="pct"/>
          </w:tcPr>
          <w:p w14:paraId="2A14ECCE" w14:textId="77777777" w:rsidR="007F4791" w:rsidRPr="00A25F2C" w:rsidRDefault="007F4791" w:rsidP="00F13D2F">
            <w:pPr>
              <w:pStyle w:val="TableBodyText"/>
              <w:jc w:val="right"/>
            </w:pPr>
            <w:r w:rsidRPr="00A25F2C">
              <w:t>(21.6)</w:t>
            </w:r>
          </w:p>
        </w:tc>
        <w:tc>
          <w:tcPr>
            <w:tcW w:w="575" w:type="pct"/>
          </w:tcPr>
          <w:p w14:paraId="7FCD6BE8" w14:textId="77777777" w:rsidR="007F4791" w:rsidRPr="00A25F2C" w:rsidRDefault="007F4791" w:rsidP="00F13D2F">
            <w:pPr>
              <w:pStyle w:val="TableBodyText"/>
              <w:jc w:val="right"/>
            </w:pPr>
            <w:r w:rsidRPr="00A25F2C">
              <w:t>(26.1)</w:t>
            </w:r>
          </w:p>
        </w:tc>
        <w:tc>
          <w:tcPr>
            <w:tcW w:w="575" w:type="pct"/>
          </w:tcPr>
          <w:p w14:paraId="06B1A8A8" w14:textId="77777777" w:rsidR="007F4791" w:rsidRPr="00A25F2C" w:rsidRDefault="007F4791" w:rsidP="00F13D2F">
            <w:pPr>
              <w:pStyle w:val="TableBodyText"/>
              <w:jc w:val="right"/>
            </w:pPr>
            <w:r w:rsidRPr="00A25F2C">
              <w:t>(24.0)</w:t>
            </w:r>
          </w:p>
        </w:tc>
        <w:tc>
          <w:tcPr>
            <w:tcW w:w="575" w:type="pct"/>
          </w:tcPr>
          <w:p w14:paraId="689FF4CB" w14:textId="77777777" w:rsidR="007F4791" w:rsidRPr="00A25F2C" w:rsidRDefault="007F4791" w:rsidP="00F13D2F">
            <w:pPr>
              <w:pStyle w:val="TableBodyText"/>
              <w:jc w:val="right"/>
            </w:pPr>
            <w:r w:rsidRPr="00A25F2C">
              <w:t>(21.8)</w:t>
            </w:r>
          </w:p>
        </w:tc>
        <w:tc>
          <w:tcPr>
            <w:tcW w:w="575" w:type="pct"/>
          </w:tcPr>
          <w:p w14:paraId="5B7EFFB0" w14:textId="77777777" w:rsidR="007F4791" w:rsidRPr="00A25F2C" w:rsidRDefault="007F4791" w:rsidP="00F13D2F">
            <w:pPr>
              <w:pStyle w:val="TableBodyText"/>
              <w:jc w:val="right"/>
            </w:pPr>
            <w:r w:rsidRPr="00A25F2C">
              <w:t>(21.6)</w:t>
            </w:r>
          </w:p>
        </w:tc>
      </w:tr>
      <w:tr w:rsidR="00143D6B" w:rsidRPr="00A25F2C" w14:paraId="00250A33" w14:textId="77777777" w:rsidTr="00BA3F27">
        <w:tc>
          <w:tcPr>
            <w:tcW w:w="2125" w:type="pct"/>
          </w:tcPr>
          <w:p w14:paraId="26FBB765" w14:textId="77777777" w:rsidR="007F4791" w:rsidRPr="00A25F2C" w:rsidRDefault="007F4791" w:rsidP="004E1FA1">
            <w:pPr>
              <w:pStyle w:val="TableBodyText"/>
            </w:pPr>
            <w:r w:rsidRPr="00A25F2C">
              <w:t>Borrowings</w:t>
            </w:r>
          </w:p>
        </w:tc>
        <w:tc>
          <w:tcPr>
            <w:tcW w:w="575" w:type="pct"/>
          </w:tcPr>
          <w:p w14:paraId="21B76759" w14:textId="77777777" w:rsidR="007F4791" w:rsidRPr="00A25F2C" w:rsidRDefault="007F4791" w:rsidP="00F13D2F">
            <w:pPr>
              <w:pStyle w:val="TableBodyText"/>
              <w:jc w:val="right"/>
            </w:pPr>
            <w:r w:rsidRPr="00A25F2C">
              <w:t>(4,743.1)</w:t>
            </w:r>
          </w:p>
        </w:tc>
        <w:tc>
          <w:tcPr>
            <w:tcW w:w="575" w:type="pct"/>
          </w:tcPr>
          <w:p w14:paraId="14048A04" w14:textId="77777777" w:rsidR="007F4791" w:rsidRPr="00A25F2C" w:rsidRDefault="007F4791" w:rsidP="00F13D2F">
            <w:pPr>
              <w:pStyle w:val="TableBodyText"/>
              <w:jc w:val="right"/>
            </w:pPr>
            <w:r w:rsidRPr="00A25F2C">
              <w:t>(4,251.3)</w:t>
            </w:r>
          </w:p>
        </w:tc>
        <w:tc>
          <w:tcPr>
            <w:tcW w:w="575" w:type="pct"/>
          </w:tcPr>
          <w:p w14:paraId="0D2F7646" w14:textId="77777777" w:rsidR="007F4791" w:rsidRPr="00A25F2C" w:rsidRDefault="007F4791" w:rsidP="00F13D2F">
            <w:pPr>
              <w:pStyle w:val="TableBodyText"/>
              <w:jc w:val="right"/>
            </w:pPr>
            <w:r w:rsidRPr="00A25F2C">
              <w:t>(4,316.3)</w:t>
            </w:r>
          </w:p>
        </w:tc>
        <w:tc>
          <w:tcPr>
            <w:tcW w:w="575" w:type="pct"/>
          </w:tcPr>
          <w:p w14:paraId="70D92575" w14:textId="77777777" w:rsidR="007F4791" w:rsidRPr="00A25F2C" w:rsidRDefault="007F4791" w:rsidP="00F13D2F">
            <w:pPr>
              <w:pStyle w:val="TableBodyText"/>
              <w:jc w:val="right"/>
            </w:pPr>
            <w:r w:rsidRPr="00A25F2C">
              <w:t>(4,551.3)</w:t>
            </w:r>
          </w:p>
        </w:tc>
        <w:tc>
          <w:tcPr>
            <w:tcW w:w="575" w:type="pct"/>
          </w:tcPr>
          <w:p w14:paraId="557EE506" w14:textId="77777777" w:rsidR="007F4791" w:rsidRPr="00A25F2C" w:rsidRDefault="007F4791" w:rsidP="00F13D2F">
            <w:pPr>
              <w:pStyle w:val="TableBodyText"/>
              <w:jc w:val="right"/>
            </w:pPr>
            <w:r w:rsidRPr="00A25F2C">
              <w:t>(4,743.2)</w:t>
            </w:r>
          </w:p>
        </w:tc>
      </w:tr>
      <w:tr w:rsidR="00143D6B" w:rsidRPr="00A25F2C" w14:paraId="1012BAA5" w14:textId="77777777" w:rsidTr="00BA3F27">
        <w:tc>
          <w:tcPr>
            <w:tcW w:w="2125" w:type="pct"/>
          </w:tcPr>
          <w:p w14:paraId="2804F309" w14:textId="77777777" w:rsidR="007F4791" w:rsidRPr="00A25F2C" w:rsidRDefault="007F4791" w:rsidP="004E1FA1">
            <w:pPr>
              <w:pStyle w:val="TableBodyText"/>
            </w:pPr>
            <w:r w:rsidRPr="00A25F2C">
              <w:t>Employee Entitlements</w:t>
            </w:r>
          </w:p>
        </w:tc>
        <w:tc>
          <w:tcPr>
            <w:tcW w:w="575" w:type="pct"/>
          </w:tcPr>
          <w:p w14:paraId="60EC7610" w14:textId="77777777" w:rsidR="007F4791" w:rsidRPr="00A25F2C" w:rsidRDefault="007F4791" w:rsidP="00F13D2F">
            <w:pPr>
              <w:pStyle w:val="TableBodyText"/>
              <w:jc w:val="right"/>
            </w:pPr>
            <w:r w:rsidRPr="00A25F2C">
              <w:t>(14.0)</w:t>
            </w:r>
          </w:p>
        </w:tc>
        <w:tc>
          <w:tcPr>
            <w:tcW w:w="575" w:type="pct"/>
          </w:tcPr>
          <w:p w14:paraId="6A7A2B36" w14:textId="77777777" w:rsidR="007F4791" w:rsidRPr="00A25F2C" w:rsidRDefault="007F4791" w:rsidP="00F13D2F">
            <w:pPr>
              <w:pStyle w:val="TableBodyText"/>
              <w:jc w:val="right"/>
            </w:pPr>
            <w:r w:rsidRPr="00A25F2C">
              <w:t>(14.0)</w:t>
            </w:r>
          </w:p>
        </w:tc>
        <w:tc>
          <w:tcPr>
            <w:tcW w:w="575" w:type="pct"/>
          </w:tcPr>
          <w:p w14:paraId="6BD8A9EE" w14:textId="77777777" w:rsidR="007F4791" w:rsidRPr="00A25F2C" w:rsidRDefault="007F4791" w:rsidP="00F13D2F">
            <w:pPr>
              <w:pStyle w:val="TableBodyText"/>
              <w:jc w:val="right"/>
            </w:pPr>
            <w:r w:rsidRPr="00A25F2C">
              <w:t>(14.0)</w:t>
            </w:r>
          </w:p>
        </w:tc>
        <w:tc>
          <w:tcPr>
            <w:tcW w:w="575" w:type="pct"/>
          </w:tcPr>
          <w:p w14:paraId="71FBFE34" w14:textId="77777777" w:rsidR="007F4791" w:rsidRPr="00A25F2C" w:rsidRDefault="007F4791" w:rsidP="00F13D2F">
            <w:pPr>
              <w:pStyle w:val="TableBodyText"/>
              <w:jc w:val="right"/>
            </w:pPr>
            <w:r w:rsidRPr="00A25F2C">
              <w:t>(14.0)</w:t>
            </w:r>
          </w:p>
        </w:tc>
        <w:tc>
          <w:tcPr>
            <w:tcW w:w="575" w:type="pct"/>
          </w:tcPr>
          <w:p w14:paraId="6B53FCB6" w14:textId="77777777" w:rsidR="007F4791" w:rsidRPr="00A25F2C" w:rsidRDefault="007F4791" w:rsidP="00F13D2F">
            <w:pPr>
              <w:pStyle w:val="TableBodyText"/>
              <w:jc w:val="right"/>
            </w:pPr>
            <w:r w:rsidRPr="00A25F2C">
              <w:t>(14.0)</w:t>
            </w:r>
          </w:p>
        </w:tc>
      </w:tr>
      <w:tr w:rsidR="00143D6B" w:rsidRPr="00A25F2C" w14:paraId="191E08BD" w14:textId="77777777" w:rsidTr="00BA3F27">
        <w:tc>
          <w:tcPr>
            <w:tcW w:w="2125" w:type="pct"/>
          </w:tcPr>
          <w:p w14:paraId="398F0E67" w14:textId="77777777" w:rsidR="007F4791" w:rsidRPr="00A25F2C" w:rsidRDefault="007F4791" w:rsidP="004E1FA1">
            <w:pPr>
              <w:pStyle w:val="TableBodyText"/>
            </w:pPr>
            <w:r w:rsidRPr="00A25F2C">
              <w:t>Net Deferred Tax Liability</w:t>
            </w:r>
          </w:p>
        </w:tc>
        <w:tc>
          <w:tcPr>
            <w:tcW w:w="575" w:type="pct"/>
          </w:tcPr>
          <w:p w14:paraId="402863AE" w14:textId="77777777" w:rsidR="007F4791" w:rsidRPr="00A25F2C" w:rsidRDefault="007F4791" w:rsidP="00F13D2F">
            <w:pPr>
              <w:pStyle w:val="TableBodyText"/>
              <w:jc w:val="right"/>
            </w:pPr>
            <w:r w:rsidRPr="00A25F2C">
              <w:t>(1,224.4)</w:t>
            </w:r>
          </w:p>
        </w:tc>
        <w:tc>
          <w:tcPr>
            <w:tcW w:w="575" w:type="pct"/>
          </w:tcPr>
          <w:p w14:paraId="6884D104" w14:textId="77777777" w:rsidR="007F4791" w:rsidRPr="00A25F2C" w:rsidRDefault="007F4791" w:rsidP="00F13D2F">
            <w:pPr>
              <w:pStyle w:val="TableBodyText"/>
              <w:jc w:val="right"/>
            </w:pPr>
            <w:r w:rsidRPr="00A25F2C">
              <w:t>(1,248.0)</w:t>
            </w:r>
          </w:p>
        </w:tc>
        <w:tc>
          <w:tcPr>
            <w:tcW w:w="575" w:type="pct"/>
          </w:tcPr>
          <w:p w14:paraId="4A53793E" w14:textId="77777777" w:rsidR="007F4791" w:rsidRPr="00A25F2C" w:rsidRDefault="007F4791" w:rsidP="00F13D2F">
            <w:pPr>
              <w:pStyle w:val="TableBodyText"/>
              <w:jc w:val="right"/>
            </w:pPr>
            <w:r w:rsidRPr="00A25F2C">
              <w:t>(1,239.7)</w:t>
            </w:r>
          </w:p>
        </w:tc>
        <w:tc>
          <w:tcPr>
            <w:tcW w:w="575" w:type="pct"/>
          </w:tcPr>
          <w:p w14:paraId="7F5F23D9" w14:textId="77777777" w:rsidR="007F4791" w:rsidRPr="00A25F2C" w:rsidRDefault="007F4791" w:rsidP="00F13D2F">
            <w:pPr>
              <w:pStyle w:val="TableBodyText"/>
              <w:jc w:val="right"/>
            </w:pPr>
            <w:r w:rsidRPr="00A25F2C">
              <w:t>(1,232.3)</w:t>
            </w:r>
          </w:p>
        </w:tc>
        <w:tc>
          <w:tcPr>
            <w:tcW w:w="575" w:type="pct"/>
          </w:tcPr>
          <w:p w14:paraId="7FEF4459" w14:textId="77777777" w:rsidR="007F4791" w:rsidRPr="00A25F2C" w:rsidRDefault="007F4791" w:rsidP="00F13D2F">
            <w:pPr>
              <w:pStyle w:val="TableBodyText"/>
              <w:jc w:val="right"/>
            </w:pPr>
            <w:r w:rsidRPr="00A25F2C">
              <w:t>(1,224.4)</w:t>
            </w:r>
          </w:p>
        </w:tc>
      </w:tr>
      <w:tr w:rsidR="00143D6B" w:rsidRPr="00A25F2C" w14:paraId="59102BD8" w14:textId="77777777" w:rsidTr="00BA3F27">
        <w:tc>
          <w:tcPr>
            <w:tcW w:w="2125" w:type="pct"/>
          </w:tcPr>
          <w:p w14:paraId="3041FE9F" w14:textId="77777777" w:rsidR="007F4791" w:rsidRPr="00A25F2C" w:rsidRDefault="007F4791" w:rsidP="004E1FA1">
            <w:pPr>
              <w:pStyle w:val="TableBodyText"/>
            </w:pPr>
            <w:r w:rsidRPr="00A25F2C">
              <w:t>Other Non-Current Liabilities</w:t>
            </w:r>
          </w:p>
        </w:tc>
        <w:tc>
          <w:tcPr>
            <w:tcW w:w="575" w:type="pct"/>
          </w:tcPr>
          <w:p w14:paraId="6ED1E9EF" w14:textId="77777777" w:rsidR="007F4791" w:rsidRPr="00A25F2C" w:rsidRDefault="007F4791" w:rsidP="00F13D2F">
            <w:pPr>
              <w:pStyle w:val="TableBodyText"/>
              <w:jc w:val="right"/>
            </w:pPr>
            <w:r w:rsidRPr="00A25F2C">
              <w:t>(0.2)</w:t>
            </w:r>
          </w:p>
        </w:tc>
        <w:tc>
          <w:tcPr>
            <w:tcW w:w="575" w:type="pct"/>
          </w:tcPr>
          <w:p w14:paraId="06085D4E" w14:textId="77777777" w:rsidR="007F4791" w:rsidRPr="00A25F2C" w:rsidRDefault="007F4791" w:rsidP="00F13D2F">
            <w:pPr>
              <w:pStyle w:val="TableBodyText"/>
              <w:jc w:val="right"/>
            </w:pPr>
            <w:r w:rsidRPr="00A25F2C">
              <w:t>(0.2)</w:t>
            </w:r>
          </w:p>
        </w:tc>
        <w:tc>
          <w:tcPr>
            <w:tcW w:w="575" w:type="pct"/>
          </w:tcPr>
          <w:p w14:paraId="09F026F9" w14:textId="77777777" w:rsidR="007F4791" w:rsidRPr="00A25F2C" w:rsidRDefault="007F4791" w:rsidP="00F13D2F">
            <w:pPr>
              <w:pStyle w:val="TableBodyText"/>
              <w:jc w:val="right"/>
            </w:pPr>
            <w:r w:rsidRPr="00A25F2C">
              <w:t>(0.2)</w:t>
            </w:r>
          </w:p>
        </w:tc>
        <w:tc>
          <w:tcPr>
            <w:tcW w:w="575" w:type="pct"/>
          </w:tcPr>
          <w:p w14:paraId="5D13C352" w14:textId="77777777" w:rsidR="007F4791" w:rsidRPr="00A25F2C" w:rsidRDefault="007F4791" w:rsidP="00F13D2F">
            <w:pPr>
              <w:pStyle w:val="TableBodyText"/>
              <w:jc w:val="right"/>
            </w:pPr>
            <w:r w:rsidRPr="00A25F2C">
              <w:t>(0.2)</w:t>
            </w:r>
          </w:p>
        </w:tc>
        <w:tc>
          <w:tcPr>
            <w:tcW w:w="575" w:type="pct"/>
          </w:tcPr>
          <w:p w14:paraId="5A3908B7" w14:textId="77777777" w:rsidR="007F4791" w:rsidRPr="00A25F2C" w:rsidRDefault="007F4791" w:rsidP="00F13D2F">
            <w:pPr>
              <w:pStyle w:val="TableBodyText"/>
              <w:jc w:val="right"/>
            </w:pPr>
            <w:r w:rsidRPr="00A25F2C">
              <w:t>(0.2)</w:t>
            </w:r>
          </w:p>
        </w:tc>
      </w:tr>
      <w:tr w:rsidR="007F4791" w:rsidRPr="00A25F2C" w14:paraId="4489FDAC" w14:textId="77777777" w:rsidTr="00BA3F27">
        <w:tc>
          <w:tcPr>
            <w:tcW w:w="2125" w:type="pct"/>
          </w:tcPr>
          <w:p w14:paraId="5C6EF5BA" w14:textId="77777777" w:rsidR="007F4791" w:rsidRPr="00A25F2C" w:rsidRDefault="007F4791" w:rsidP="004E1FA1">
            <w:pPr>
              <w:pStyle w:val="TableBodyText"/>
            </w:pPr>
            <w:r w:rsidRPr="00A25F2C">
              <w:rPr>
                <w:b/>
              </w:rPr>
              <w:t>Total Non-Current Liabilities</w:t>
            </w:r>
          </w:p>
        </w:tc>
        <w:tc>
          <w:tcPr>
            <w:tcW w:w="575" w:type="pct"/>
          </w:tcPr>
          <w:p w14:paraId="27D5CEDE" w14:textId="77777777" w:rsidR="007F4791" w:rsidRPr="00A25F2C" w:rsidRDefault="007F4791" w:rsidP="00F13D2F">
            <w:pPr>
              <w:pStyle w:val="TableBodyText"/>
              <w:jc w:val="right"/>
            </w:pPr>
            <w:r w:rsidRPr="00A25F2C">
              <w:rPr>
                <w:b/>
              </w:rPr>
              <w:t>(9,408.1)</w:t>
            </w:r>
          </w:p>
        </w:tc>
        <w:tc>
          <w:tcPr>
            <w:tcW w:w="575" w:type="pct"/>
          </w:tcPr>
          <w:p w14:paraId="506DDC82" w14:textId="77777777" w:rsidR="007F4791" w:rsidRPr="00A25F2C" w:rsidRDefault="007F4791" w:rsidP="00F13D2F">
            <w:pPr>
              <w:pStyle w:val="TableBodyText"/>
              <w:jc w:val="right"/>
            </w:pPr>
            <w:r w:rsidRPr="00A25F2C">
              <w:rPr>
                <w:b/>
              </w:rPr>
              <w:t>(8,990.4)</w:t>
            </w:r>
          </w:p>
        </w:tc>
        <w:tc>
          <w:tcPr>
            <w:tcW w:w="575" w:type="pct"/>
          </w:tcPr>
          <w:p w14:paraId="21B15A78" w14:textId="77777777" w:rsidR="007F4791" w:rsidRPr="00A25F2C" w:rsidRDefault="007F4791" w:rsidP="00F13D2F">
            <w:pPr>
              <w:pStyle w:val="TableBodyText"/>
              <w:jc w:val="right"/>
            </w:pPr>
            <w:r w:rsidRPr="00A25F2C">
              <w:rPr>
                <w:b/>
              </w:rPr>
              <w:t>(9,030.4)</w:t>
            </w:r>
          </w:p>
        </w:tc>
        <w:tc>
          <w:tcPr>
            <w:tcW w:w="575" w:type="pct"/>
          </w:tcPr>
          <w:p w14:paraId="2BE86F02" w14:textId="77777777" w:rsidR="007F4791" w:rsidRPr="00A25F2C" w:rsidRDefault="007F4791" w:rsidP="00F13D2F">
            <w:pPr>
              <w:pStyle w:val="TableBodyText"/>
              <w:jc w:val="right"/>
            </w:pPr>
            <w:r w:rsidRPr="00A25F2C">
              <w:rPr>
                <w:b/>
              </w:rPr>
              <w:t>(9,240.4)</w:t>
            </w:r>
          </w:p>
        </w:tc>
        <w:tc>
          <w:tcPr>
            <w:tcW w:w="575" w:type="pct"/>
          </w:tcPr>
          <w:p w14:paraId="0EF76929" w14:textId="77777777" w:rsidR="007F4791" w:rsidRPr="00A25F2C" w:rsidRDefault="007F4791" w:rsidP="00F13D2F">
            <w:pPr>
              <w:pStyle w:val="TableBodyText"/>
              <w:jc w:val="right"/>
              <w:rPr>
                <w:b/>
              </w:rPr>
            </w:pPr>
            <w:r w:rsidRPr="00A25F2C">
              <w:rPr>
                <w:b/>
              </w:rPr>
              <w:t>(9,408.2)</w:t>
            </w:r>
          </w:p>
        </w:tc>
      </w:tr>
      <w:tr w:rsidR="007F4791" w:rsidRPr="00A25F2C" w14:paraId="27D4B222" w14:textId="77777777" w:rsidTr="00BA3F27">
        <w:tc>
          <w:tcPr>
            <w:tcW w:w="2125" w:type="pct"/>
          </w:tcPr>
          <w:p w14:paraId="7CD576AA" w14:textId="52148FF4" w:rsidR="007F4791" w:rsidRPr="00A25F2C" w:rsidRDefault="00E65500" w:rsidP="004E1FA1">
            <w:pPr>
              <w:pStyle w:val="TableBodyText"/>
            </w:pPr>
            <w:r w:rsidRPr="00A25F2C">
              <w:rPr>
                <w:b/>
              </w:rPr>
              <w:t>Total Liabilities</w:t>
            </w:r>
          </w:p>
        </w:tc>
        <w:tc>
          <w:tcPr>
            <w:tcW w:w="575" w:type="pct"/>
          </w:tcPr>
          <w:p w14:paraId="24364707" w14:textId="77777777" w:rsidR="007F4791" w:rsidRPr="00A25F2C" w:rsidRDefault="007F4791" w:rsidP="00F13D2F">
            <w:pPr>
              <w:pStyle w:val="TableBodyText"/>
              <w:jc w:val="right"/>
            </w:pPr>
            <w:r w:rsidRPr="00A25F2C">
              <w:rPr>
                <w:b/>
              </w:rPr>
              <w:t>(10,634.4)</w:t>
            </w:r>
          </w:p>
        </w:tc>
        <w:tc>
          <w:tcPr>
            <w:tcW w:w="575" w:type="pct"/>
          </w:tcPr>
          <w:p w14:paraId="514FA757" w14:textId="77777777" w:rsidR="007F4791" w:rsidRPr="00A25F2C" w:rsidRDefault="007F4791" w:rsidP="00F13D2F">
            <w:pPr>
              <w:pStyle w:val="TableBodyText"/>
              <w:jc w:val="right"/>
            </w:pPr>
            <w:r w:rsidRPr="00A25F2C">
              <w:rPr>
                <w:b/>
              </w:rPr>
              <w:t>(10,215.3)</w:t>
            </w:r>
          </w:p>
        </w:tc>
        <w:tc>
          <w:tcPr>
            <w:tcW w:w="575" w:type="pct"/>
          </w:tcPr>
          <w:p w14:paraId="77D39F9A" w14:textId="77777777" w:rsidR="007F4791" w:rsidRPr="00A25F2C" w:rsidRDefault="007F4791" w:rsidP="00F13D2F">
            <w:pPr>
              <w:pStyle w:val="TableBodyText"/>
              <w:jc w:val="right"/>
            </w:pPr>
            <w:r w:rsidRPr="00A25F2C">
              <w:rPr>
                <w:b/>
              </w:rPr>
              <w:t>(10,347.4)</w:t>
            </w:r>
          </w:p>
        </w:tc>
        <w:tc>
          <w:tcPr>
            <w:tcW w:w="575" w:type="pct"/>
          </w:tcPr>
          <w:p w14:paraId="0C9EBF79" w14:textId="77777777" w:rsidR="007F4791" w:rsidRPr="00A25F2C" w:rsidRDefault="007F4791" w:rsidP="00F13D2F">
            <w:pPr>
              <w:pStyle w:val="TableBodyText"/>
              <w:jc w:val="right"/>
            </w:pPr>
            <w:r w:rsidRPr="00A25F2C">
              <w:rPr>
                <w:b/>
              </w:rPr>
              <w:t>(10,476.9)</w:t>
            </w:r>
          </w:p>
        </w:tc>
        <w:tc>
          <w:tcPr>
            <w:tcW w:w="575" w:type="pct"/>
          </w:tcPr>
          <w:p w14:paraId="4124476B" w14:textId="77777777" w:rsidR="007F4791" w:rsidRPr="00A25F2C" w:rsidRDefault="007F4791" w:rsidP="00F13D2F">
            <w:pPr>
              <w:pStyle w:val="TableBodyText"/>
              <w:jc w:val="right"/>
              <w:rPr>
                <w:b/>
              </w:rPr>
            </w:pPr>
            <w:r w:rsidRPr="00A25F2C">
              <w:rPr>
                <w:b/>
              </w:rPr>
              <w:t>(10,634.5)</w:t>
            </w:r>
          </w:p>
        </w:tc>
      </w:tr>
      <w:tr w:rsidR="00143D6B" w:rsidRPr="00A25F2C" w14:paraId="0D9A71CD" w14:textId="77777777" w:rsidTr="00BA3F27">
        <w:tc>
          <w:tcPr>
            <w:tcW w:w="2125" w:type="pct"/>
          </w:tcPr>
          <w:p w14:paraId="25C28929" w14:textId="77777777" w:rsidR="007F4791" w:rsidRPr="00A25F2C" w:rsidRDefault="007F4791" w:rsidP="004E1FA1">
            <w:pPr>
              <w:pStyle w:val="TableBodyText"/>
              <w:rPr>
                <w:b/>
              </w:rPr>
            </w:pPr>
            <w:r w:rsidRPr="00A25F2C">
              <w:rPr>
                <w:b/>
              </w:rPr>
              <w:t>Equity</w:t>
            </w:r>
          </w:p>
        </w:tc>
        <w:tc>
          <w:tcPr>
            <w:tcW w:w="575" w:type="pct"/>
          </w:tcPr>
          <w:p w14:paraId="3314B653" w14:textId="79FCB1ED" w:rsidR="007F4791" w:rsidRPr="00A25F2C" w:rsidRDefault="00995D31" w:rsidP="00F13D2F">
            <w:pPr>
              <w:spacing w:before="0" w:after="0"/>
              <w:jc w:val="right"/>
            </w:pPr>
            <w:r>
              <w:t>N/A</w:t>
            </w:r>
          </w:p>
        </w:tc>
        <w:tc>
          <w:tcPr>
            <w:tcW w:w="575" w:type="pct"/>
          </w:tcPr>
          <w:p w14:paraId="3CA34C1E" w14:textId="1481076E" w:rsidR="007F4791" w:rsidRPr="00A25F2C" w:rsidRDefault="00995D31" w:rsidP="00F13D2F">
            <w:pPr>
              <w:spacing w:before="0" w:after="0"/>
              <w:jc w:val="right"/>
            </w:pPr>
            <w:r>
              <w:t>N/A</w:t>
            </w:r>
          </w:p>
        </w:tc>
        <w:tc>
          <w:tcPr>
            <w:tcW w:w="575" w:type="pct"/>
          </w:tcPr>
          <w:p w14:paraId="5FABFD0E" w14:textId="5EBAE5E4" w:rsidR="007F4791" w:rsidRPr="00A25F2C" w:rsidRDefault="00995D31" w:rsidP="00F13D2F">
            <w:pPr>
              <w:spacing w:before="0" w:after="0"/>
              <w:jc w:val="right"/>
            </w:pPr>
            <w:r>
              <w:t>N/A</w:t>
            </w:r>
          </w:p>
        </w:tc>
        <w:tc>
          <w:tcPr>
            <w:tcW w:w="575" w:type="pct"/>
          </w:tcPr>
          <w:p w14:paraId="6417D9FA" w14:textId="302E09ED" w:rsidR="007F4791" w:rsidRPr="00A25F2C" w:rsidRDefault="00995D31" w:rsidP="00F13D2F">
            <w:pPr>
              <w:spacing w:before="0" w:after="0"/>
              <w:jc w:val="right"/>
            </w:pPr>
            <w:r>
              <w:t>N/A</w:t>
            </w:r>
          </w:p>
        </w:tc>
        <w:tc>
          <w:tcPr>
            <w:tcW w:w="575" w:type="pct"/>
          </w:tcPr>
          <w:p w14:paraId="02122823" w14:textId="3199E004" w:rsidR="007F4791" w:rsidRPr="00A25F2C" w:rsidRDefault="00995D31" w:rsidP="00F13D2F">
            <w:pPr>
              <w:pStyle w:val="TableBodyText"/>
              <w:jc w:val="right"/>
            </w:pPr>
            <w:r>
              <w:t>N/A</w:t>
            </w:r>
          </w:p>
        </w:tc>
      </w:tr>
      <w:tr w:rsidR="00143D6B" w:rsidRPr="00A25F2C" w14:paraId="13E43785" w14:textId="77777777" w:rsidTr="00BA3F27">
        <w:tc>
          <w:tcPr>
            <w:tcW w:w="2125" w:type="pct"/>
          </w:tcPr>
          <w:p w14:paraId="790C89F5" w14:textId="77777777" w:rsidR="007F4791" w:rsidRPr="00A25F2C" w:rsidRDefault="007F4791" w:rsidP="004E1FA1">
            <w:pPr>
              <w:pStyle w:val="TableBodyText"/>
            </w:pPr>
            <w:r w:rsidRPr="00A25F2C">
              <w:t>Contributed Equity</w:t>
            </w:r>
          </w:p>
        </w:tc>
        <w:tc>
          <w:tcPr>
            <w:tcW w:w="575" w:type="pct"/>
          </w:tcPr>
          <w:p w14:paraId="71156D98" w14:textId="77777777" w:rsidR="007F4791" w:rsidRPr="00A25F2C" w:rsidRDefault="007F4791" w:rsidP="00F13D2F">
            <w:pPr>
              <w:pStyle w:val="TableBodyText"/>
              <w:jc w:val="right"/>
            </w:pPr>
            <w:r w:rsidRPr="00A25F2C">
              <w:t>(389.8)</w:t>
            </w:r>
          </w:p>
        </w:tc>
        <w:tc>
          <w:tcPr>
            <w:tcW w:w="575" w:type="pct"/>
          </w:tcPr>
          <w:p w14:paraId="5E1A4825" w14:textId="77777777" w:rsidR="007F4791" w:rsidRPr="00A25F2C" w:rsidRDefault="007F4791" w:rsidP="00F13D2F">
            <w:pPr>
              <w:pStyle w:val="TableBodyText"/>
              <w:jc w:val="right"/>
            </w:pPr>
            <w:r w:rsidRPr="00A25F2C">
              <w:t>(430.2)</w:t>
            </w:r>
          </w:p>
        </w:tc>
        <w:tc>
          <w:tcPr>
            <w:tcW w:w="575" w:type="pct"/>
          </w:tcPr>
          <w:p w14:paraId="314E8AE2" w14:textId="77777777" w:rsidR="007F4791" w:rsidRPr="00A25F2C" w:rsidRDefault="007F4791" w:rsidP="00F13D2F">
            <w:pPr>
              <w:pStyle w:val="TableBodyText"/>
              <w:jc w:val="right"/>
            </w:pPr>
            <w:r w:rsidRPr="00A25F2C">
              <w:t>(430.2)</w:t>
            </w:r>
          </w:p>
        </w:tc>
        <w:tc>
          <w:tcPr>
            <w:tcW w:w="575" w:type="pct"/>
          </w:tcPr>
          <w:p w14:paraId="2D32D8F8" w14:textId="77777777" w:rsidR="007F4791" w:rsidRPr="00A25F2C" w:rsidRDefault="007F4791" w:rsidP="00F13D2F">
            <w:pPr>
              <w:pStyle w:val="TableBodyText"/>
              <w:jc w:val="right"/>
            </w:pPr>
            <w:r w:rsidRPr="00A25F2C">
              <w:t>(430.2)</w:t>
            </w:r>
          </w:p>
        </w:tc>
        <w:tc>
          <w:tcPr>
            <w:tcW w:w="575" w:type="pct"/>
          </w:tcPr>
          <w:p w14:paraId="12BA65E8" w14:textId="77777777" w:rsidR="007F4791" w:rsidRPr="00A25F2C" w:rsidRDefault="007F4791" w:rsidP="00F13D2F">
            <w:pPr>
              <w:pStyle w:val="TableBodyText"/>
              <w:jc w:val="right"/>
            </w:pPr>
            <w:r w:rsidRPr="00A25F2C">
              <w:t>(389.8)</w:t>
            </w:r>
          </w:p>
        </w:tc>
      </w:tr>
      <w:tr w:rsidR="00143D6B" w:rsidRPr="00A25F2C" w14:paraId="1D97C561" w14:textId="77777777" w:rsidTr="00BA3F27">
        <w:tc>
          <w:tcPr>
            <w:tcW w:w="2125" w:type="pct"/>
          </w:tcPr>
          <w:p w14:paraId="3532B2AC" w14:textId="77777777" w:rsidR="007F4791" w:rsidRPr="00A25F2C" w:rsidRDefault="007F4791" w:rsidP="004E1FA1">
            <w:pPr>
              <w:pStyle w:val="TableBodyText"/>
            </w:pPr>
            <w:r w:rsidRPr="00A25F2C">
              <w:t>Asset Revaluation Reserves</w:t>
            </w:r>
          </w:p>
        </w:tc>
        <w:tc>
          <w:tcPr>
            <w:tcW w:w="575" w:type="pct"/>
          </w:tcPr>
          <w:p w14:paraId="74FD43A7" w14:textId="77777777" w:rsidR="007F4791" w:rsidRPr="00A25F2C" w:rsidRDefault="007F4791" w:rsidP="00F13D2F">
            <w:pPr>
              <w:pStyle w:val="TableBodyText"/>
              <w:jc w:val="right"/>
            </w:pPr>
            <w:r w:rsidRPr="00A25F2C">
              <w:t>(3,926.4)</w:t>
            </w:r>
          </w:p>
        </w:tc>
        <w:tc>
          <w:tcPr>
            <w:tcW w:w="575" w:type="pct"/>
          </w:tcPr>
          <w:p w14:paraId="33194F56" w14:textId="77777777" w:rsidR="007F4791" w:rsidRPr="00A25F2C" w:rsidRDefault="007F4791" w:rsidP="00F13D2F">
            <w:pPr>
              <w:pStyle w:val="TableBodyText"/>
              <w:jc w:val="right"/>
            </w:pPr>
            <w:r w:rsidRPr="00A25F2C">
              <w:t>(3,926.4)</w:t>
            </w:r>
          </w:p>
        </w:tc>
        <w:tc>
          <w:tcPr>
            <w:tcW w:w="575" w:type="pct"/>
          </w:tcPr>
          <w:p w14:paraId="6D055ED8" w14:textId="77777777" w:rsidR="007F4791" w:rsidRPr="00A25F2C" w:rsidRDefault="007F4791" w:rsidP="00F13D2F">
            <w:pPr>
              <w:pStyle w:val="TableBodyText"/>
              <w:jc w:val="right"/>
            </w:pPr>
            <w:r w:rsidRPr="00A25F2C">
              <w:t>(3,926.4)</w:t>
            </w:r>
          </w:p>
        </w:tc>
        <w:tc>
          <w:tcPr>
            <w:tcW w:w="575" w:type="pct"/>
          </w:tcPr>
          <w:p w14:paraId="0214850D" w14:textId="77777777" w:rsidR="007F4791" w:rsidRPr="00A25F2C" w:rsidRDefault="007F4791" w:rsidP="00F13D2F">
            <w:pPr>
              <w:pStyle w:val="TableBodyText"/>
              <w:jc w:val="right"/>
            </w:pPr>
            <w:r w:rsidRPr="00A25F2C">
              <w:t>(3,926.4)</w:t>
            </w:r>
          </w:p>
        </w:tc>
        <w:tc>
          <w:tcPr>
            <w:tcW w:w="575" w:type="pct"/>
          </w:tcPr>
          <w:p w14:paraId="6840EB82" w14:textId="77777777" w:rsidR="007F4791" w:rsidRPr="00A25F2C" w:rsidRDefault="007F4791" w:rsidP="00F13D2F">
            <w:pPr>
              <w:pStyle w:val="TableBodyText"/>
              <w:jc w:val="right"/>
            </w:pPr>
            <w:r w:rsidRPr="00A25F2C">
              <w:t>(3,926.4)</w:t>
            </w:r>
          </w:p>
        </w:tc>
      </w:tr>
      <w:tr w:rsidR="00143D6B" w:rsidRPr="00A25F2C" w14:paraId="2E7AAA75" w14:textId="77777777" w:rsidTr="00BA3F27">
        <w:tc>
          <w:tcPr>
            <w:tcW w:w="2125" w:type="pct"/>
          </w:tcPr>
          <w:p w14:paraId="627BDAF9" w14:textId="77777777" w:rsidR="007F4791" w:rsidRPr="00A25F2C" w:rsidRDefault="007F4791" w:rsidP="004E1FA1">
            <w:pPr>
              <w:pStyle w:val="TableBodyText"/>
            </w:pPr>
            <w:r w:rsidRPr="00A25F2C">
              <w:t>Retained Profit</w:t>
            </w:r>
          </w:p>
        </w:tc>
        <w:tc>
          <w:tcPr>
            <w:tcW w:w="575" w:type="pct"/>
          </w:tcPr>
          <w:p w14:paraId="448C8043" w14:textId="77777777" w:rsidR="007F4791" w:rsidRPr="00A25F2C" w:rsidRDefault="007F4791" w:rsidP="00F13D2F">
            <w:pPr>
              <w:pStyle w:val="TableBodyText"/>
              <w:jc w:val="right"/>
            </w:pPr>
            <w:r w:rsidRPr="00A25F2C">
              <w:t>(2,846.2)</w:t>
            </w:r>
          </w:p>
        </w:tc>
        <w:tc>
          <w:tcPr>
            <w:tcW w:w="575" w:type="pct"/>
          </w:tcPr>
          <w:p w14:paraId="5D216334" w14:textId="77777777" w:rsidR="007F4791" w:rsidRPr="00A25F2C" w:rsidRDefault="007F4791" w:rsidP="00F13D2F">
            <w:pPr>
              <w:pStyle w:val="TableBodyText"/>
              <w:jc w:val="right"/>
            </w:pPr>
            <w:r w:rsidRPr="00A25F2C">
              <w:t>(2,757.4)</w:t>
            </w:r>
          </w:p>
        </w:tc>
        <w:tc>
          <w:tcPr>
            <w:tcW w:w="575" w:type="pct"/>
          </w:tcPr>
          <w:p w14:paraId="64E7AC10" w14:textId="77777777" w:rsidR="007F4791" w:rsidRPr="00A25F2C" w:rsidRDefault="007F4791" w:rsidP="00F13D2F">
            <w:pPr>
              <w:pStyle w:val="TableBodyText"/>
              <w:jc w:val="right"/>
            </w:pPr>
            <w:r w:rsidRPr="00A25F2C">
              <w:t>(2,791.4)</w:t>
            </w:r>
          </w:p>
        </w:tc>
        <w:tc>
          <w:tcPr>
            <w:tcW w:w="575" w:type="pct"/>
          </w:tcPr>
          <w:p w14:paraId="26C0CA6A" w14:textId="77777777" w:rsidR="007F4791" w:rsidRPr="00A25F2C" w:rsidRDefault="007F4791" w:rsidP="00F13D2F">
            <w:pPr>
              <w:pStyle w:val="TableBodyText"/>
              <w:jc w:val="right"/>
            </w:pPr>
            <w:r w:rsidRPr="00A25F2C">
              <w:t>(2,824.8)</w:t>
            </w:r>
          </w:p>
        </w:tc>
        <w:tc>
          <w:tcPr>
            <w:tcW w:w="575" w:type="pct"/>
          </w:tcPr>
          <w:p w14:paraId="4D220DDD" w14:textId="77777777" w:rsidR="007F4791" w:rsidRPr="00A25F2C" w:rsidRDefault="007F4791" w:rsidP="00F13D2F">
            <w:pPr>
              <w:pStyle w:val="TableBodyText"/>
              <w:jc w:val="right"/>
            </w:pPr>
            <w:r w:rsidRPr="00A25F2C">
              <w:t>(2,846.1)</w:t>
            </w:r>
          </w:p>
        </w:tc>
      </w:tr>
      <w:tr w:rsidR="007F4791" w:rsidRPr="00A25F2C" w14:paraId="7AC34AA7" w14:textId="77777777" w:rsidTr="00BA3F27">
        <w:tc>
          <w:tcPr>
            <w:tcW w:w="2125" w:type="pct"/>
          </w:tcPr>
          <w:p w14:paraId="32EA15CF" w14:textId="77777777" w:rsidR="007F4791" w:rsidRPr="00A25F2C" w:rsidRDefault="007F4791" w:rsidP="004E1FA1">
            <w:pPr>
              <w:pStyle w:val="TableBodyText"/>
            </w:pPr>
            <w:r w:rsidRPr="00A25F2C">
              <w:rPr>
                <w:b/>
              </w:rPr>
              <w:t>Total Equity</w:t>
            </w:r>
          </w:p>
        </w:tc>
        <w:tc>
          <w:tcPr>
            <w:tcW w:w="575" w:type="pct"/>
          </w:tcPr>
          <w:p w14:paraId="59536EBB" w14:textId="77777777" w:rsidR="007F4791" w:rsidRPr="00A25F2C" w:rsidRDefault="007F4791" w:rsidP="00F13D2F">
            <w:pPr>
              <w:pStyle w:val="TableBodyText"/>
              <w:jc w:val="right"/>
            </w:pPr>
            <w:r w:rsidRPr="00A25F2C">
              <w:rPr>
                <w:b/>
              </w:rPr>
              <w:t>(7,162.4)</w:t>
            </w:r>
          </w:p>
        </w:tc>
        <w:tc>
          <w:tcPr>
            <w:tcW w:w="575" w:type="pct"/>
          </w:tcPr>
          <w:p w14:paraId="70CBCF2D" w14:textId="77777777" w:rsidR="007F4791" w:rsidRPr="00A25F2C" w:rsidRDefault="007F4791" w:rsidP="00F13D2F">
            <w:pPr>
              <w:pStyle w:val="TableBodyText"/>
              <w:jc w:val="right"/>
            </w:pPr>
            <w:r w:rsidRPr="00A25F2C">
              <w:rPr>
                <w:b/>
              </w:rPr>
              <w:t>(7,114.0)</w:t>
            </w:r>
          </w:p>
        </w:tc>
        <w:tc>
          <w:tcPr>
            <w:tcW w:w="575" w:type="pct"/>
          </w:tcPr>
          <w:p w14:paraId="55D7E9FB" w14:textId="77777777" w:rsidR="007F4791" w:rsidRPr="00A25F2C" w:rsidRDefault="007F4791" w:rsidP="00F13D2F">
            <w:pPr>
              <w:pStyle w:val="TableBodyText"/>
              <w:jc w:val="right"/>
            </w:pPr>
            <w:r w:rsidRPr="00A25F2C">
              <w:rPr>
                <w:b/>
              </w:rPr>
              <w:t>(7,148.0)</w:t>
            </w:r>
          </w:p>
        </w:tc>
        <w:tc>
          <w:tcPr>
            <w:tcW w:w="575" w:type="pct"/>
          </w:tcPr>
          <w:p w14:paraId="57382D1B" w14:textId="77777777" w:rsidR="007F4791" w:rsidRPr="00A25F2C" w:rsidRDefault="007F4791" w:rsidP="00F13D2F">
            <w:pPr>
              <w:pStyle w:val="TableBodyText"/>
              <w:jc w:val="right"/>
            </w:pPr>
            <w:r w:rsidRPr="00A25F2C">
              <w:rPr>
                <w:b/>
              </w:rPr>
              <w:t>(7,181.4)</w:t>
            </w:r>
          </w:p>
        </w:tc>
        <w:tc>
          <w:tcPr>
            <w:tcW w:w="575" w:type="pct"/>
          </w:tcPr>
          <w:p w14:paraId="2127465E" w14:textId="77777777" w:rsidR="007F4791" w:rsidRPr="00A25F2C" w:rsidRDefault="007F4791" w:rsidP="00F13D2F">
            <w:pPr>
              <w:pStyle w:val="TableBodyText"/>
              <w:jc w:val="right"/>
              <w:rPr>
                <w:b/>
              </w:rPr>
            </w:pPr>
            <w:r w:rsidRPr="00A25F2C">
              <w:rPr>
                <w:b/>
              </w:rPr>
              <w:t>(7,162.3)</w:t>
            </w:r>
          </w:p>
        </w:tc>
      </w:tr>
      <w:tr w:rsidR="007F4791" w:rsidRPr="00A25F2C" w14:paraId="13ABB001" w14:textId="77777777" w:rsidTr="00BA3F27">
        <w:tc>
          <w:tcPr>
            <w:tcW w:w="2125" w:type="pct"/>
          </w:tcPr>
          <w:p w14:paraId="3113E5F3" w14:textId="24439550" w:rsidR="007F4791" w:rsidRPr="00A25F2C" w:rsidRDefault="00E65500" w:rsidP="004E1FA1">
            <w:pPr>
              <w:pStyle w:val="TableBodyText"/>
            </w:pPr>
            <w:r w:rsidRPr="00A25F2C">
              <w:rPr>
                <w:b/>
              </w:rPr>
              <w:t>Net Assets/Equity</w:t>
            </w:r>
          </w:p>
        </w:tc>
        <w:tc>
          <w:tcPr>
            <w:tcW w:w="575" w:type="pct"/>
          </w:tcPr>
          <w:p w14:paraId="636969BA" w14:textId="77777777" w:rsidR="007F4791" w:rsidRPr="00A25F2C" w:rsidRDefault="007F4791" w:rsidP="00F13D2F">
            <w:pPr>
              <w:pStyle w:val="TableBodyText"/>
              <w:jc w:val="right"/>
            </w:pPr>
            <w:r w:rsidRPr="00A25F2C">
              <w:rPr>
                <w:b/>
              </w:rPr>
              <w:t>7,162.4</w:t>
            </w:r>
          </w:p>
        </w:tc>
        <w:tc>
          <w:tcPr>
            <w:tcW w:w="575" w:type="pct"/>
          </w:tcPr>
          <w:p w14:paraId="5E09E53A" w14:textId="77777777" w:rsidR="007F4791" w:rsidRPr="00A25F2C" w:rsidRDefault="007F4791" w:rsidP="00F13D2F">
            <w:pPr>
              <w:pStyle w:val="TableBodyText"/>
              <w:jc w:val="right"/>
            </w:pPr>
            <w:r w:rsidRPr="00A25F2C">
              <w:rPr>
                <w:b/>
              </w:rPr>
              <w:t>7,114.0</w:t>
            </w:r>
          </w:p>
        </w:tc>
        <w:tc>
          <w:tcPr>
            <w:tcW w:w="575" w:type="pct"/>
          </w:tcPr>
          <w:p w14:paraId="3CABC80C" w14:textId="77777777" w:rsidR="007F4791" w:rsidRPr="00A25F2C" w:rsidRDefault="007F4791" w:rsidP="00F13D2F">
            <w:pPr>
              <w:pStyle w:val="TableBodyText"/>
              <w:jc w:val="right"/>
            </w:pPr>
            <w:r w:rsidRPr="00A25F2C">
              <w:rPr>
                <w:b/>
              </w:rPr>
              <w:t>7,148.0</w:t>
            </w:r>
          </w:p>
        </w:tc>
        <w:tc>
          <w:tcPr>
            <w:tcW w:w="575" w:type="pct"/>
          </w:tcPr>
          <w:p w14:paraId="2526565E" w14:textId="77777777" w:rsidR="007F4791" w:rsidRPr="00A25F2C" w:rsidRDefault="007F4791" w:rsidP="00F13D2F">
            <w:pPr>
              <w:pStyle w:val="TableBodyText"/>
              <w:jc w:val="right"/>
            </w:pPr>
            <w:r w:rsidRPr="00A25F2C">
              <w:rPr>
                <w:b/>
              </w:rPr>
              <w:t>7,181.4</w:t>
            </w:r>
          </w:p>
        </w:tc>
        <w:tc>
          <w:tcPr>
            <w:tcW w:w="575" w:type="pct"/>
          </w:tcPr>
          <w:p w14:paraId="4ACC1E1A" w14:textId="77777777" w:rsidR="007F4791" w:rsidRPr="00A25F2C" w:rsidRDefault="007F4791" w:rsidP="00F13D2F">
            <w:pPr>
              <w:pStyle w:val="TableBodyText"/>
              <w:jc w:val="right"/>
              <w:rPr>
                <w:b/>
              </w:rPr>
            </w:pPr>
            <w:r w:rsidRPr="00A25F2C">
              <w:rPr>
                <w:b/>
              </w:rPr>
              <w:t>7,162.3</w:t>
            </w:r>
          </w:p>
        </w:tc>
      </w:tr>
    </w:tbl>
    <w:p w14:paraId="70E18BFD" w14:textId="7A8927EF" w:rsidR="00143D6B" w:rsidRDefault="007F4791" w:rsidP="007F4791">
      <w:pPr>
        <w:pStyle w:val="BodyText"/>
      </w:pPr>
      <w:r w:rsidRPr="00A25F2C">
        <w:t>All tables subject to rounding</w:t>
      </w:r>
      <w:r w:rsidR="0086694E">
        <w:t>.</w:t>
      </w:r>
    </w:p>
    <w:p w14:paraId="186EEC11" w14:textId="0CCFF130" w:rsidR="007F4791" w:rsidRPr="00A25F2C" w:rsidRDefault="0086694E" w:rsidP="0086694E">
      <w:pPr>
        <w:pStyle w:val="Caption"/>
      </w:pPr>
      <w:r w:rsidRPr="0086694E">
        <w:t>Table E14 – Cash Flow 2023-24 quarterly phasing</w:t>
      </w:r>
    </w:p>
    <w:tbl>
      <w:tblPr>
        <w:tblStyle w:val="TableProfessional"/>
        <w:tblW w:w="5000" w:type="pct"/>
        <w:tblLook w:val="0620" w:firstRow="1" w:lastRow="0" w:firstColumn="0" w:lastColumn="0" w:noHBand="1" w:noVBand="1"/>
      </w:tblPr>
      <w:tblGrid>
        <w:gridCol w:w="4143"/>
        <w:gridCol w:w="1296"/>
        <w:gridCol w:w="1069"/>
        <w:gridCol w:w="1075"/>
        <w:gridCol w:w="1075"/>
        <w:gridCol w:w="973"/>
      </w:tblGrid>
      <w:tr w:rsidR="007F4791" w:rsidRPr="00A25F2C" w14:paraId="22F343B8" w14:textId="77777777" w:rsidTr="00F13D2F">
        <w:trPr>
          <w:cnfStyle w:val="100000000000" w:firstRow="1" w:lastRow="0" w:firstColumn="0" w:lastColumn="0" w:oddVBand="0" w:evenVBand="0" w:oddHBand="0" w:evenHBand="0" w:firstRowFirstColumn="0" w:firstRowLastColumn="0" w:lastRowFirstColumn="0" w:lastRowLastColumn="0"/>
        </w:trPr>
        <w:tc>
          <w:tcPr>
            <w:tcW w:w="2151" w:type="pct"/>
          </w:tcPr>
          <w:p w14:paraId="7262F534" w14:textId="0D4DF948" w:rsidR="007F4791" w:rsidRPr="00A25F2C" w:rsidRDefault="007F4791" w:rsidP="004E1FA1">
            <w:pPr>
              <w:pStyle w:val="TableBodyText"/>
            </w:pPr>
            <w:r w:rsidRPr="00A25F2C">
              <w:t xml:space="preserve">Nominal </w:t>
            </w:r>
            <w:r w:rsidR="00E65500">
              <w:t>$ million</w:t>
            </w:r>
          </w:p>
        </w:tc>
        <w:tc>
          <w:tcPr>
            <w:tcW w:w="673" w:type="pct"/>
          </w:tcPr>
          <w:p w14:paraId="5965D276" w14:textId="77777777" w:rsidR="007F4791" w:rsidRPr="00A25F2C" w:rsidRDefault="007F4791" w:rsidP="00F13D2F">
            <w:pPr>
              <w:pStyle w:val="TableBodyText"/>
              <w:jc w:val="right"/>
            </w:pPr>
            <w:r w:rsidRPr="00A25F2C">
              <w:t>2023-24</w:t>
            </w:r>
          </w:p>
          <w:p w14:paraId="3247DB66" w14:textId="77777777" w:rsidR="007F4791" w:rsidRPr="00A25F2C" w:rsidRDefault="007F4791" w:rsidP="00F13D2F">
            <w:pPr>
              <w:pStyle w:val="TableBodyText"/>
              <w:jc w:val="right"/>
            </w:pPr>
            <w:r w:rsidRPr="00A25F2C">
              <w:t>PLAN</w:t>
            </w:r>
          </w:p>
        </w:tc>
        <w:tc>
          <w:tcPr>
            <w:tcW w:w="555" w:type="pct"/>
          </w:tcPr>
          <w:p w14:paraId="09B8AC6D" w14:textId="77777777" w:rsidR="007F4791" w:rsidRPr="00A25F2C" w:rsidRDefault="007F4791" w:rsidP="00F13D2F">
            <w:pPr>
              <w:pStyle w:val="TableBodyText"/>
              <w:jc w:val="right"/>
            </w:pPr>
            <w:r w:rsidRPr="00A25F2C">
              <w:t>Q1 PLAN</w:t>
            </w:r>
          </w:p>
        </w:tc>
        <w:tc>
          <w:tcPr>
            <w:tcW w:w="558" w:type="pct"/>
          </w:tcPr>
          <w:p w14:paraId="0CBB994F" w14:textId="77777777" w:rsidR="007F4791" w:rsidRPr="00A25F2C" w:rsidRDefault="007F4791" w:rsidP="00F13D2F">
            <w:pPr>
              <w:pStyle w:val="TableBodyText"/>
              <w:jc w:val="right"/>
            </w:pPr>
            <w:r w:rsidRPr="00A25F2C">
              <w:t>Q2 PLAN</w:t>
            </w:r>
          </w:p>
        </w:tc>
        <w:tc>
          <w:tcPr>
            <w:tcW w:w="558" w:type="pct"/>
          </w:tcPr>
          <w:p w14:paraId="13F518A9" w14:textId="77777777" w:rsidR="007F4791" w:rsidRPr="00A25F2C" w:rsidRDefault="007F4791" w:rsidP="00F13D2F">
            <w:pPr>
              <w:pStyle w:val="TableBodyText"/>
              <w:jc w:val="right"/>
            </w:pPr>
            <w:r w:rsidRPr="00A25F2C">
              <w:t>Q3 PLAN</w:t>
            </w:r>
          </w:p>
        </w:tc>
        <w:tc>
          <w:tcPr>
            <w:tcW w:w="505" w:type="pct"/>
          </w:tcPr>
          <w:p w14:paraId="3CBFBE45" w14:textId="77777777" w:rsidR="007F4791" w:rsidRPr="00A25F2C" w:rsidRDefault="007F4791" w:rsidP="00F13D2F">
            <w:pPr>
              <w:pStyle w:val="TableBodyText"/>
              <w:jc w:val="right"/>
            </w:pPr>
            <w:r w:rsidRPr="00A25F2C">
              <w:t>Q4 PLAN</w:t>
            </w:r>
          </w:p>
        </w:tc>
      </w:tr>
      <w:tr w:rsidR="007F4791" w:rsidRPr="00A25F2C" w14:paraId="089A2F7F" w14:textId="77777777" w:rsidTr="00F13D2F">
        <w:tc>
          <w:tcPr>
            <w:tcW w:w="2151" w:type="pct"/>
          </w:tcPr>
          <w:p w14:paraId="6979BDD6" w14:textId="77777777" w:rsidR="007F4791" w:rsidRPr="00A25F2C" w:rsidRDefault="007F4791" w:rsidP="004E1FA1">
            <w:pPr>
              <w:pStyle w:val="TableBodyText"/>
              <w:rPr>
                <w:b/>
              </w:rPr>
            </w:pPr>
            <w:r w:rsidRPr="00A25F2C">
              <w:rPr>
                <w:b/>
              </w:rPr>
              <w:t>Cash Flow from Operating Activities</w:t>
            </w:r>
          </w:p>
        </w:tc>
        <w:tc>
          <w:tcPr>
            <w:tcW w:w="673" w:type="pct"/>
          </w:tcPr>
          <w:p w14:paraId="7E74AC54" w14:textId="1815CEC0" w:rsidR="007F4791" w:rsidRPr="00A25F2C" w:rsidRDefault="00995D31" w:rsidP="00F13D2F">
            <w:pPr>
              <w:spacing w:before="0" w:after="0"/>
              <w:jc w:val="right"/>
            </w:pPr>
            <w:r>
              <w:t>N/A</w:t>
            </w:r>
          </w:p>
        </w:tc>
        <w:tc>
          <w:tcPr>
            <w:tcW w:w="555" w:type="pct"/>
          </w:tcPr>
          <w:p w14:paraId="5D0420CE" w14:textId="58DD8CE0" w:rsidR="007F4791" w:rsidRPr="00A25F2C" w:rsidRDefault="00995D31" w:rsidP="00F13D2F">
            <w:pPr>
              <w:spacing w:before="0" w:after="0"/>
              <w:jc w:val="right"/>
            </w:pPr>
            <w:r>
              <w:t>N/A</w:t>
            </w:r>
          </w:p>
        </w:tc>
        <w:tc>
          <w:tcPr>
            <w:tcW w:w="558" w:type="pct"/>
          </w:tcPr>
          <w:p w14:paraId="026B5648" w14:textId="296217CF" w:rsidR="007F4791" w:rsidRPr="00A25F2C" w:rsidRDefault="00995D31" w:rsidP="00F13D2F">
            <w:pPr>
              <w:spacing w:before="0" w:after="0"/>
              <w:jc w:val="right"/>
            </w:pPr>
            <w:r>
              <w:t>N/A</w:t>
            </w:r>
          </w:p>
        </w:tc>
        <w:tc>
          <w:tcPr>
            <w:tcW w:w="558" w:type="pct"/>
          </w:tcPr>
          <w:p w14:paraId="6AD9BAA8" w14:textId="0CEF7C23" w:rsidR="007F4791" w:rsidRPr="00A25F2C" w:rsidRDefault="00995D31" w:rsidP="00F13D2F">
            <w:pPr>
              <w:spacing w:before="0" w:after="0"/>
              <w:jc w:val="right"/>
            </w:pPr>
            <w:r>
              <w:t>N/A</w:t>
            </w:r>
          </w:p>
        </w:tc>
        <w:tc>
          <w:tcPr>
            <w:tcW w:w="505" w:type="pct"/>
          </w:tcPr>
          <w:p w14:paraId="3DDAA935" w14:textId="18A006DE" w:rsidR="007F4791" w:rsidRPr="00A25F2C" w:rsidRDefault="00995D31" w:rsidP="00F13D2F">
            <w:pPr>
              <w:pStyle w:val="TableBodyText"/>
              <w:jc w:val="right"/>
            </w:pPr>
            <w:r>
              <w:t>N/A</w:t>
            </w:r>
          </w:p>
        </w:tc>
      </w:tr>
      <w:tr w:rsidR="007F4791" w:rsidRPr="00A25F2C" w14:paraId="2EF01FFE" w14:textId="77777777" w:rsidTr="00F13D2F">
        <w:tc>
          <w:tcPr>
            <w:tcW w:w="2151" w:type="pct"/>
          </w:tcPr>
          <w:p w14:paraId="1E1CDB6D" w14:textId="77777777" w:rsidR="007F4791" w:rsidRPr="00A25F2C" w:rsidRDefault="007F4791" w:rsidP="004E1FA1">
            <w:pPr>
              <w:pStyle w:val="TableBodyText"/>
            </w:pPr>
            <w:r w:rsidRPr="00A25F2C">
              <w:t>Receipts from Customers</w:t>
            </w:r>
          </w:p>
        </w:tc>
        <w:tc>
          <w:tcPr>
            <w:tcW w:w="673" w:type="pct"/>
          </w:tcPr>
          <w:p w14:paraId="541AB897" w14:textId="77777777" w:rsidR="007F4791" w:rsidRPr="00A25F2C" w:rsidRDefault="007F4791" w:rsidP="00F13D2F">
            <w:pPr>
              <w:pStyle w:val="TableBodyText"/>
              <w:jc w:val="right"/>
            </w:pPr>
            <w:r w:rsidRPr="00A25F2C">
              <w:t>2,149.7</w:t>
            </w:r>
          </w:p>
        </w:tc>
        <w:tc>
          <w:tcPr>
            <w:tcW w:w="555" w:type="pct"/>
          </w:tcPr>
          <w:p w14:paraId="20286A73" w14:textId="77777777" w:rsidR="007F4791" w:rsidRPr="00A25F2C" w:rsidRDefault="007F4791" w:rsidP="00F13D2F">
            <w:pPr>
              <w:pStyle w:val="TableBodyText"/>
              <w:jc w:val="right"/>
            </w:pPr>
            <w:r w:rsidRPr="00A25F2C">
              <w:t>542.7</w:t>
            </w:r>
          </w:p>
        </w:tc>
        <w:tc>
          <w:tcPr>
            <w:tcW w:w="558" w:type="pct"/>
          </w:tcPr>
          <w:p w14:paraId="49887F57" w14:textId="77777777" w:rsidR="007F4791" w:rsidRPr="00A25F2C" w:rsidRDefault="007F4791" w:rsidP="00F13D2F">
            <w:pPr>
              <w:pStyle w:val="TableBodyText"/>
              <w:jc w:val="right"/>
            </w:pPr>
            <w:r w:rsidRPr="00A25F2C">
              <w:t>536.9</w:t>
            </w:r>
          </w:p>
        </w:tc>
        <w:tc>
          <w:tcPr>
            <w:tcW w:w="558" w:type="pct"/>
          </w:tcPr>
          <w:p w14:paraId="148A03FA" w14:textId="77777777" w:rsidR="007F4791" w:rsidRPr="00A25F2C" w:rsidRDefault="007F4791" w:rsidP="00F13D2F">
            <w:pPr>
              <w:pStyle w:val="TableBodyText"/>
              <w:jc w:val="right"/>
            </w:pPr>
            <w:r w:rsidRPr="00A25F2C">
              <w:t>534.4</w:t>
            </w:r>
          </w:p>
        </w:tc>
        <w:tc>
          <w:tcPr>
            <w:tcW w:w="505" w:type="pct"/>
          </w:tcPr>
          <w:p w14:paraId="0DC7395B" w14:textId="77777777" w:rsidR="007F4791" w:rsidRPr="00A25F2C" w:rsidRDefault="007F4791" w:rsidP="00F13D2F">
            <w:pPr>
              <w:pStyle w:val="TableBodyText"/>
              <w:jc w:val="right"/>
            </w:pPr>
            <w:r w:rsidRPr="00A25F2C">
              <w:t>535.7</w:t>
            </w:r>
          </w:p>
        </w:tc>
      </w:tr>
      <w:tr w:rsidR="007F4791" w:rsidRPr="00A25F2C" w14:paraId="0867CECE" w14:textId="77777777" w:rsidTr="00F13D2F">
        <w:tc>
          <w:tcPr>
            <w:tcW w:w="2151" w:type="pct"/>
          </w:tcPr>
          <w:p w14:paraId="4D081523" w14:textId="77777777" w:rsidR="007F4791" w:rsidRPr="00A25F2C" w:rsidRDefault="007F4791" w:rsidP="004E1FA1">
            <w:pPr>
              <w:pStyle w:val="TableBodyText"/>
            </w:pPr>
            <w:r w:rsidRPr="00A25F2C">
              <w:t>Interest Received</w:t>
            </w:r>
          </w:p>
        </w:tc>
        <w:tc>
          <w:tcPr>
            <w:tcW w:w="673" w:type="pct"/>
          </w:tcPr>
          <w:p w14:paraId="4A1FAC97" w14:textId="77777777" w:rsidR="007F4791" w:rsidRPr="00A25F2C" w:rsidRDefault="007F4791" w:rsidP="00F13D2F">
            <w:pPr>
              <w:pStyle w:val="TableBodyText"/>
              <w:jc w:val="right"/>
            </w:pPr>
            <w:r w:rsidRPr="00A25F2C">
              <w:t>0.0</w:t>
            </w:r>
          </w:p>
        </w:tc>
        <w:tc>
          <w:tcPr>
            <w:tcW w:w="555" w:type="pct"/>
          </w:tcPr>
          <w:p w14:paraId="3C2D04A2" w14:textId="77777777" w:rsidR="007F4791" w:rsidRPr="00A25F2C" w:rsidRDefault="007F4791" w:rsidP="00F13D2F">
            <w:pPr>
              <w:pStyle w:val="TableBodyText"/>
              <w:jc w:val="right"/>
            </w:pPr>
            <w:r w:rsidRPr="00A25F2C">
              <w:t>0.0</w:t>
            </w:r>
          </w:p>
        </w:tc>
        <w:tc>
          <w:tcPr>
            <w:tcW w:w="558" w:type="pct"/>
          </w:tcPr>
          <w:p w14:paraId="26178448" w14:textId="77777777" w:rsidR="007F4791" w:rsidRPr="00A25F2C" w:rsidRDefault="007F4791" w:rsidP="00F13D2F">
            <w:pPr>
              <w:pStyle w:val="TableBodyText"/>
              <w:jc w:val="right"/>
            </w:pPr>
            <w:r w:rsidRPr="00A25F2C">
              <w:t>0.0</w:t>
            </w:r>
          </w:p>
        </w:tc>
        <w:tc>
          <w:tcPr>
            <w:tcW w:w="558" w:type="pct"/>
          </w:tcPr>
          <w:p w14:paraId="6F3A984B" w14:textId="77777777" w:rsidR="007F4791" w:rsidRPr="00A25F2C" w:rsidRDefault="007F4791" w:rsidP="00F13D2F">
            <w:pPr>
              <w:pStyle w:val="TableBodyText"/>
              <w:jc w:val="right"/>
            </w:pPr>
            <w:r w:rsidRPr="00A25F2C">
              <w:t>0.0</w:t>
            </w:r>
          </w:p>
        </w:tc>
        <w:tc>
          <w:tcPr>
            <w:tcW w:w="505" w:type="pct"/>
          </w:tcPr>
          <w:p w14:paraId="35F162CB" w14:textId="77777777" w:rsidR="007F4791" w:rsidRPr="00A25F2C" w:rsidRDefault="007F4791" w:rsidP="00F13D2F">
            <w:pPr>
              <w:pStyle w:val="TableBodyText"/>
              <w:jc w:val="right"/>
            </w:pPr>
            <w:r w:rsidRPr="00A25F2C">
              <w:t>0.0</w:t>
            </w:r>
          </w:p>
        </w:tc>
      </w:tr>
      <w:tr w:rsidR="007F4791" w:rsidRPr="00A25F2C" w14:paraId="3BBD7FF0" w14:textId="77777777" w:rsidTr="00F13D2F">
        <w:tc>
          <w:tcPr>
            <w:tcW w:w="2151" w:type="pct"/>
          </w:tcPr>
          <w:p w14:paraId="11756C23" w14:textId="77777777" w:rsidR="007F4791" w:rsidRPr="00A25F2C" w:rsidRDefault="007F4791" w:rsidP="004E1FA1">
            <w:pPr>
              <w:pStyle w:val="TableBodyText"/>
            </w:pPr>
            <w:r w:rsidRPr="00A25F2C">
              <w:t>Payments to Suppliers &amp; Employees</w:t>
            </w:r>
          </w:p>
        </w:tc>
        <w:tc>
          <w:tcPr>
            <w:tcW w:w="673" w:type="pct"/>
          </w:tcPr>
          <w:p w14:paraId="60C23023" w14:textId="77777777" w:rsidR="007F4791" w:rsidRPr="00A25F2C" w:rsidRDefault="007F4791" w:rsidP="00F13D2F">
            <w:pPr>
              <w:pStyle w:val="TableBodyText"/>
              <w:jc w:val="right"/>
            </w:pPr>
            <w:r w:rsidRPr="00A25F2C">
              <w:t>(923.4)</w:t>
            </w:r>
          </w:p>
        </w:tc>
        <w:tc>
          <w:tcPr>
            <w:tcW w:w="555" w:type="pct"/>
          </w:tcPr>
          <w:p w14:paraId="14BD9C1D" w14:textId="77777777" w:rsidR="007F4791" w:rsidRPr="00A25F2C" w:rsidRDefault="007F4791" w:rsidP="00F13D2F">
            <w:pPr>
              <w:pStyle w:val="TableBodyText"/>
              <w:jc w:val="right"/>
            </w:pPr>
            <w:r w:rsidRPr="00A25F2C">
              <w:t>(259.5)</w:t>
            </w:r>
          </w:p>
        </w:tc>
        <w:tc>
          <w:tcPr>
            <w:tcW w:w="558" w:type="pct"/>
          </w:tcPr>
          <w:p w14:paraId="491ABF81" w14:textId="77777777" w:rsidR="007F4791" w:rsidRPr="00A25F2C" w:rsidRDefault="007F4791" w:rsidP="00F13D2F">
            <w:pPr>
              <w:pStyle w:val="TableBodyText"/>
              <w:jc w:val="right"/>
            </w:pPr>
            <w:r w:rsidRPr="00A25F2C">
              <w:t>(227.0)</w:t>
            </w:r>
          </w:p>
        </w:tc>
        <w:tc>
          <w:tcPr>
            <w:tcW w:w="558" w:type="pct"/>
          </w:tcPr>
          <w:p w14:paraId="22318FD5" w14:textId="77777777" w:rsidR="007F4791" w:rsidRPr="00A25F2C" w:rsidRDefault="007F4791" w:rsidP="00F13D2F">
            <w:pPr>
              <w:pStyle w:val="TableBodyText"/>
              <w:jc w:val="right"/>
            </w:pPr>
            <w:r w:rsidRPr="00A25F2C">
              <w:t>(220.6)</w:t>
            </w:r>
          </w:p>
        </w:tc>
        <w:tc>
          <w:tcPr>
            <w:tcW w:w="505" w:type="pct"/>
          </w:tcPr>
          <w:p w14:paraId="62679B4B" w14:textId="77777777" w:rsidR="007F4791" w:rsidRPr="00A25F2C" w:rsidRDefault="007F4791" w:rsidP="00F13D2F">
            <w:pPr>
              <w:pStyle w:val="TableBodyText"/>
              <w:jc w:val="right"/>
            </w:pPr>
            <w:r w:rsidRPr="00A25F2C">
              <w:t>(216.3)</w:t>
            </w:r>
          </w:p>
        </w:tc>
      </w:tr>
      <w:tr w:rsidR="007F4791" w:rsidRPr="00A25F2C" w14:paraId="795C106A" w14:textId="77777777" w:rsidTr="00F13D2F">
        <w:tc>
          <w:tcPr>
            <w:tcW w:w="2151" w:type="pct"/>
          </w:tcPr>
          <w:p w14:paraId="6FE1DF0B" w14:textId="77777777" w:rsidR="007F4791" w:rsidRPr="00A25F2C" w:rsidRDefault="007F4791" w:rsidP="004E1FA1">
            <w:pPr>
              <w:pStyle w:val="TableBodyText"/>
            </w:pPr>
            <w:r w:rsidRPr="00A25F2C">
              <w:t>Income Tax Paid</w:t>
            </w:r>
          </w:p>
        </w:tc>
        <w:tc>
          <w:tcPr>
            <w:tcW w:w="673" w:type="pct"/>
          </w:tcPr>
          <w:p w14:paraId="4736A66D" w14:textId="77777777" w:rsidR="007F4791" w:rsidRPr="00A25F2C" w:rsidRDefault="007F4791" w:rsidP="00F13D2F">
            <w:pPr>
              <w:pStyle w:val="TableBodyText"/>
              <w:jc w:val="right"/>
            </w:pPr>
            <w:r w:rsidRPr="00A25F2C">
              <w:t>(120.8)</w:t>
            </w:r>
          </w:p>
        </w:tc>
        <w:tc>
          <w:tcPr>
            <w:tcW w:w="555" w:type="pct"/>
          </w:tcPr>
          <w:p w14:paraId="169B8023" w14:textId="77777777" w:rsidR="007F4791" w:rsidRPr="00A25F2C" w:rsidRDefault="007F4791" w:rsidP="00F13D2F">
            <w:pPr>
              <w:pStyle w:val="TableBodyText"/>
              <w:jc w:val="right"/>
            </w:pPr>
            <w:r w:rsidRPr="00A25F2C">
              <w:t>(27.4)</w:t>
            </w:r>
          </w:p>
        </w:tc>
        <w:tc>
          <w:tcPr>
            <w:tcW w:w="558" w:type="pct"/>
          </w:tcPr>
          <w:p w14:paraId="668F7EB4" w14:textId="77777777" w:rsidR="007F4791" w:rsidRPr="00A25F2C" w:rsidRDefault="007F4791" w:rsidP="00F13D2F">
            <w:pPr>
              <w:pStyle w:val="TableBodyText"/>
              <w:jc w:val="right"/>
            </w:pPr>
            <w:r w:rsidRPr="00A25F2C">
              <w:t>(32.9)</w:t>
            </w:r>
          </w:p>
        </w:tc>
        <w:tc>
          <w:tcPr>
            <w:tcW w:w="558" w:type="pct"/>
          </w:tcPr>
          <w:p w14:paraId="29FC9DE0" w14:textId="77777777" w:rsidR="007F4791" w:rsidRPr="00A25F2C" w:rsidRDefault="007F4791" w:rsidP="00F13D2F">
            <w:pPr>
              <w:pStyle w:val="TableBodyText"/>
              <w:jc w:val="right"/>
            </w:pPr>
            <w:r w:rsidRPr="00A25F2C">
              <w:t>(30.1)</w:t>
            </w:r>
          </w:p>
        </w:tc>
        <w:tc>
          <w:tcPr>
            <w:tcW w:w="505" w:type="pct"/>
          </w:tcPr>
          <w:p w14:paraId="5B417616" w14:textId="77777777" w:rsidR="007F4791" w:rsidRPr="00A25F2C" w:rsidRDefault="007F4791" w:rsidP="00F13D2F">
            <w:pPr>
              <w:pStyle w:val="TableBodyText"/>
              <w:jc w:val="right"/>
            </w:pPr>
            <w:r w:rsidRPr="00A25F2C">
              <w:t>(30.4)</w:t>
            </w:r>
          </w:p>
        </w:tc>
      </w:tr>
      <w:tr w:rsidR="007F4791" w:rsidRPr="00A25F2C" w14:paraId="14D9DA2E" w14:textId="77777777" w:rsidTr="00F13D2F">
        <w:tc>
          <w:tcPr>
            <w:tcW w:w="2151" w:type="pct"/>
          </w:tcPr>
          <w:p w14:paraId="5BEEBE53" w14:textId="77777777" w:rsidR="007F4791" w:rsidRPr="00A25F2C" w:rsidRDefault="007F4791" w:rsidP="004E1FA1">
            <w:pPr>
              <w:pStyle w:val="TableBodyText"/>
            </w:pPr>
            <w:r w:rsidRPr="00A25F2C">
              <w:t>Borrowing Costs</w:t>
            </w:r>
          </w:p>
        </w:tc>
        <w:tc>
          <w:tcPr>
            <w:tcW w:w="673" w:type="pct"/>
          </w:tcPr>
          <w:p w14:paraId="71084DE4" w14:textId="77777777" w:rsidR="007F4791" w:rsidRPr="00A25F2C" w:rsidRDefault="007F4791" w:rsidP="00F13D2F">
            <w:pPr>
              <w:pStyle w:val="TableBodyText"/>
              <w:jc w:val="right"/>
            </w:pPr>
            <w:r w:rsidRPr="00A25F2C">
              <w:t>(174.5)</w:t>
            </w:r>
          </w:p>
        </w:tc>
        <w:tc>
          <w:tcPr>
            <w:tcW w:w="555" w:type="pct"/>
          </w:tcPr>
          <w:p w14:paraId="66A11890" w14:textId="77777777" w:rsidR="007F4791" w:rsidRPr="00A25F2C" w:rsidRDefault="007F4791" w:rsidP="00F13D2F">
            <w:pPr>
              <w:pStyle w:val="TableBodyText"/>
              <w:jc w:val="right"/>
            </w:pPr>
            <w:r w:rsidRPr="00A25F2C">
              <w:t>(58.7)</w:t>
            </w:r>
          </w:p>
        </w:tc>
        <w:tc>
          <w:tcPr>
            <w:tcW w:w="558" w:type="pct"/>
          </w:tcPr>
          <w:p w14:paraId="4D384C84" w14:textId="77777777" w:rsidR="007F4791" w:rsidRPr="00A25F2C" w:rsidRDefault="007F4791" w:rsidP="00F13D2F">
            <w:pPr>
              <w:pStyle w:val="TableBodyText"/>
              <w:jc w:val="right"/>
            </w:pPr>
            <w:r w:rsidRPr="00A25F2C">
              <w:t>(22.6)</w:t>
            </w:r>
          </w:p>
        </w:tc>
        <w:tc>
          <w:tcPr>
            <w:tcW w:w="558" w:type="pct"/>
          </w:tcPr>
          <w:p w14:paraId="03DC35A1" w14:textId="77777777" w:rsidR="007F4791" w:rsidRPr="00A25F2C" w:rsidRDefault="007F4791" w:rsidP="00F13D2F">
            <w:pPr>
              <w:pStyle w:val="TableBodyText"/>
              <w:jc w:val="right"/>
            </w:pPr>
            <w:r w:rsidRPr="00A25F2C">
              <w:t>(63.8)</w:t>
            </w:r>
          </w:p>
        </w:tc>
        <w:tc>
          <w:tcPr>
            <w:tcW w:w="505" w:type="pct"/>
          </w:tcPr>
          <w:p w14:paraId="32021484" w14:textId="77777777" w:rsidR="007F4791" w:rsidRPr="00A25F2C" w:rsidRDefault="007F4791" w:rsidP="00F13D2F">
            <w:pPr>
              <w:pStyle w:val="TableBodyText"/>
              <w:jc w:val="right"/>
            </w:pPr>
            <w:r w:rsidRPr="00A25F2C">
              <w:t>(29.4)</w:t>
            </w:r>
          </w:p>
        </w:tc>
      </w:tr>
      <w:tr w:rsidR="007F4791" w:rsidRPr="00A25F2C" w14:paraId="43BED8D9" w14:textId="77777777" w:rsidTr="00F13D2F">
        <w:tc>
          <w:tcPr>
            <w:tcW w:w="2151" w:type="pct"/>
          </w:tcPr>
          <w:p w14:paraId="0493E278" w14:textId="77777777" w:rsidR="007F4791" w:rsidRPr="00A25F2C" w:rsidRDefault="007F4791" w:rsidP="004E1FA1">
            <w:pPr>
              <w:pStyle w:val="TableBodyText"/>
            </w:pPr>
            <w:r w:rsidRPr="00A25F2C">
              <w:t>Interest on VDP Service Concession Liability and Leases</w:t>
            </w:r>
          </w:p>
        </w:tc>
        <w:tc>
          <w:tcPr>
            <w:tcW w:w="673" w:type="pct"/>
          </w:tcPr>
          <w:p w14:paraId="3863BB35" w14:textId="77777777" w:rsidR="007F4791" w:rsidRPr="00A25F2C" w:rsidRDefault="007F4791" w:rsidP="00F13D2F">
            <w:pPr>
              <w:pStyle w:val="TableBodyText"/>
              <w:jc w:val="right"/>
            </w:pPr>
            <w:r w:rsidRPr="00A25F2C">
              <w:t>(395.5)</w:t>
            </w:r>
          </w:p>
        </w:tc>
        <w:tc>
          <w:tcPr>
            <w:tcW w:w="555" w:type="pct"/>
          </w:tcPr>
          <w:p w14:paraId="6511C122" w14:textId="77777777" w:rsidR="007F4791" w:rsidRPr="00A25F2C" w:rsidRDefault="007F4791" w:rsidP="00F13D2F">
            <w:pPr>
              <w:pStyle w:val="TableBodyText"/>
              <w:jc w:val="right"/>
            </w:pPr>
            <w:r w:rsidRPr="00A25F2C">
              <w:t>(99.1)</w:t>
            </w:r>
          </w:p>
        </w:tc>
        <w:tc>
          <w:tcPr>
            <w:tcW w:w="558" w:type="pct"/>
          </w:tcPr>
          <w:p w14:paraId="752B303B" w14:textId="77777777" w:rsidR="007F4791" w:rsidRPr="00A25F2C" w:rsidRDefault="007F4791" w:rsidP="00F13D2F">
            <w:pPr>
              <w:pStyle w:val="TableBodyText"/>
              <w:jc w:val="right"/>
            </w:pPr>
            <w:r w:rsidRPr="00A25F2C">
              <w:t>(98.8)</w:t>
            </w:r>
          </w:p>
        </w:tc>
        <w:tc>
          <w:tcPr>
            <w:tcW w:w="558" w:type="pct"/>
          </w:tcPr>
          <w:p w14:paraId="14E64371" w14:textId="77777777" w:rsidR="007F4791" w:rsidRPr="00A25F2C" w:rsidRDefault="007F4791" w:rsidP="00F13D2F">
            <w:pPr>
              <w:pStyle w:val="TableBodyText"/>
              <w:jc w:val="right"/>
            </w:pPr>
            <w:r w:rsidRPr="00A25F2C">
              <w:t>(98.8)</w:t>
            </w:r>
          </w:p>
        </w:tc>
        <w:tc>
          <w:tcPr>
            <w:tcW w:w="505" w:type="pct"/>
          </w:tcPr>
          <w:p w14:paraId="60B61134" w14:textId="77777777" w:rsidR="007F4791" w:rsidRPr="00A25F2C" w:rsidRDefault="007F4791" w:rsidP="00F13D2F">
            <w:pPr>
              <w:pStyle w:val="TableBodyText"/>
              <w:jc w:val="right"/>
            </w:pPr>
            <w:r w:rsidRPr="00A25F2C">
              <w:t>(98.8)</w:t>
            </w:r>
          </w:p>
        </w:tc>
      </w:tr>
      <w:tr w:rsidR="007F4791" w:rsidRPr="00A25F2C" w14:paraId="79ED92A4" w14:textId="77777777" w:rsidTr="00F13D2F">
        <w:tc>
          <w:tcPr>
            <w:tcW w:w="2151" w:type="pct"/>
          </w:tcPr>
          <w:p w14:paraId="0B91D853" w14:textId="77777777" w:rsidR="007F4791" w:rsidRPr="00A25F2C" w:rsidRDefault="007F4791" w:rsidP="004E1FA1">
            <w:pPr>
              <w:pStyle w:val="TableBodyText"/>
            </w:pPr>
            <w:r w:rsidRPr="00A25F2C">
              <w:rPr>
                <w:b/>
              </w:rPr>
              <w:t>Total Cash Flow from Operating Activities</w:t>
            </w:r>
          </w:p>
        </w:tc>
        <w:tc>
          <w:tcPr>
            <w:tcW w:w="673" w:type="pct"/>
          </w:tcPr>
          <w:p w14:paraId="7524934F" w14:textId="77777777" w:rsidR="007F4791" w:rsidRPr="00A25F2C" w:rsidRDefault="007F4791" w:rsidP="00F13D2F">
            <w:pPr>
              <w:pStyle w:val="TableBodyText"/>
              <w:jc w:val="right"/>
            </w:pPr>
            <w:r w:rsidRPr="00A25F2C">
              <w:rPr>
                <w:b/>
              </w:rPr>
              <w:t>535.5</w:t>
            </w:r>
          </w:p>
        </w:tc>
        <w:tc>
          <w:tcPr>
            <w:tcW w:w="555" w:type="pct"/>
          </w:tcPr>
          <w:p w14:paraId="17342F85" w14:textId="77777777" w:rsidR="007F4791" w:rsidRPr="00A25F2C" w:rsidRDefault="007F4791" w:rsidP="00F13D2F">
            <w:pPr>
              <w:pStyle w:val="TableBodyText"/>
              <w:jc w:val="right"/>
            </w:pPr>
            <w:r w:rsidRPr="00A25F2C">
              <w:rPr>
                <w:b/>
              </w:rPr>
              <w:t>98.0</w:t>
            </w:r>
          </w:p>
        </w:tc>
        <w:tc>
          <w:tcPr>
            <w:tcW w:w="558" w:type="pct"/>
          </w:tcPr>
          <w:p w14:paraId="480FB17F" w14:textId="77777777" w:rsidR="007F4791" w:rsidRPr="00A25F2C" w:rsidRDefault="007F4791" w:rsidP="00F13D2F">
            <w:pPr>
              <w:pStyle w:val="TableBodyText"/>
              <w:jc w:val="right"/>
            </w:pPr>
            <w:r w:rsidRPr="00A25F2C">
              <w:rPr>
                <w:b/>
              </w:rPr>
              <w:t>155.6</w:t>
            </w:r>
          </w:p>
        </w:tc>
        <w:tc>
          <w:tcPr>
            <w:tcW w:w="558" w:type="pct"/>
          </w:tcPr>
          <w:p w14:paraId="1D19271C" w14:textId="77777777" w:rsidR="007F4791" w:rsidRPr="00A25F2C" w:rsidRDefault="007F4791" w:rsidP="00F13D2F">
            <w:pPr>
              <w:pStyle w:val="TableBodyText"/>
              <w:jc w:val="right"/>
            </w:pPr>
            <w:r w:rsidRPr="00A25F2C">
              <w:rPr>
                <w:b/>
              </w:rPr>
              <w:t>121.1</w:t>
            </w:r>
          </w:p>
        </w:tc>
        <w:tc>
          <w:tcPr>
            <w:tcW w:w="505" w:type="pct"/>
          </w:tcPr>
          <w:p w14:paraId="68FE2C12" w14:textId="77777777" w:rsidR="007F4791" w:rsidRPr="00A25F2C" w:rsidRDefault="007F4791" w:rsidP="00F13D2F">
            <w:pPr>
              <w:pStyle w:val="TableBodyText"/>
              <w:jc w:val="right"/>
              <w:rPr>
                <w:b/>
              </w:rPr>
            </w:pPr>
            <w:r w:rsidRPr="00A25F2C">
              <w:rPr>
                <w:b/>
              </w:rPr>
              <w:t>160.8</w:t>
            </w:r>
          </w:p>
        </w:tc>
      </w:tr>
      <w:tr w:rsidR="007F4791" w:rsidRPr="00A25F2C" w14:paraId="583E3605" w14:textId="77777777" w:rsidTr="00F13D2F">
        <w:tc>
          <w:tcPr>
            <w:tcW w:w="2151" w:type="pct"/>
          </w:tcPr>
          <w:p w14:paraId="2A1F9132" w14:textId="77777777" w:rsidR="007F4791" w:rsidRPr="00A25F2C" w:rsidRDefault="007F4791" w:rsidP="004E1FA1">
            <w:pPr>
              <w:pStyle w:val="TableBodyText"/>
              <w:rPr>
                <w:b/>
              </w:rPr>
            </w:pPr>
            <w:r w:rsidRPr="00A25F2C">
              <w:rPr>
                <w:b/>
              </w:rPr>
              <w:lastRenderedPageBreak/>
              <w:t>Cash Flow from Investing Activities</w:t>
            </w:r>
          </w:p>
        </w:tc>
        <w:tc>
          <w:tcPr>
            <w:tcW w:w="673" w:type="pct"/>
          </w:tcPr>
          <w:p w14:paraId="1811E922" w14:textId="4322DA3A" w:rsidR="007F4791" w:rsidRPr="00A25F2C" w:rsidRDefault="00995D31" w:rsidP="00F13D2F">
            <w:pPr>
              <w:spacing w:before="0" w:after="0"/>
              <w:jc w:val="right"/>
            </w:pPr>
            <w:r>
              <w:t>N/A</w:t>
            </w:r>
          </w:p>
        </w:tc>
        <w:tc>
          <w:tcPr>
            <w:tcW w:w="555" w:type="pct"/>
          </w:tcPr>
          <w:p w14:paraId="02297926" w14:textId="3AB454FE" w:rsidR="007F4791" w:rsidRPr="00A25F2C" w:rsidRDefault="00995D31" w:rsidP="00F13D2F">
            <w:pPr>
              <w:spacing w:before="0" w:after="0"/>
              <w:jc w:val="right"/>
            </w:pPr>
            <w:r>
              <w:t>N/A</w:t>
            </w:r>
          </w:p>
        </w:tc>
        <w:tc>
          <w:tcPr>
            <w:tcW w:w="558" w:type="pct"/>
          </w:tcPr>
          <w:p w14:paraId="0C195856" w14:textId="6E1D4047" w:rsidR="007F4791" w:rsidRPr="00A25F2C" w:rsidRDefault="00995D31" w:rsidP="00F13D2F">
            <w:pPr>
              <w:spacing w:before="0" w:after="0"/>
              <w:jc w:val="right"/>
            </w:pPr>
            <w:r>
              <w:t>N/A</w:t>
            </w:r>
          </w:p>
        </w:tc>
        <w:tc>
          <w:tcPr>
            <w:tcW w:w="558" w:type="pct"/>
          </w:tcPr>
          <w:p w14:paraId="435E9131" w14:textId="401057F5" w:rsidR="007F4791" w:rsidRPr="00A25F2C" w:rsidRDefault="00995D31" w:rsidP="00F13D2F">
            <w:pPr>
              <w:spacing w:before="0" w:after="0"/>
              <w:jc w:val="right"/>
            </w:pPr>
            <w:r>
              <w:t>N/A</w:t>
            </w:r>
          </w:p>
        </w:tc>
        <w:tc>
          <w:tcPr>
            <w:tcW w:w="505" w:type="pct"/>
          </w:tcPr>
          <w:p w14:paraId="1DF4ED3E" w14:textId="1B36AAD2" w:rsidR="007F4791" w:rsidRPr="00A25F2C" w:rsidRDefault="00995D31" w:rsidP="00F13D2F">
            <w:pPr>
              <w:pStyle w:val="TableBodyText"/>
              <w:jc w:val="right"/>
            </w:pPr>
            <w:r>
              <w:t>N/A</w:t>
            </w:r>
          </w:p>
        </w:tc>
      </w:tr>
      <w:tr w:rsidR="007F4791" w:rsidRPr="00A25F2C" w14:paraId="2A1356FA" w14:textId="77777777" w:rsidTr="00F13D2F">
        <w:tc>
          <w:tcPr>
            <w:tcW w:w="2151" w:type="pct"/>
          </w:tcPr>
          <w:p w14:paraId="65AB3721" w14:textId="77777777" w:rsidR="007F4791" w:rsidRPr="00A25F2C" w:rsidRDefault="007F4791" w:rsidP="004E1FA1">
            <w:pPr>
              <w:pStyle w:val="TableBodyText"/>
            </w:pPr>
            <w:r w:rsidRPr="00A25F2C">
              <w:t>Payments for Capital Projects</w:t>
            </w:r>
          </w:p>
        </w:tc>
        <w:tc>
          <w:tcPr>
            <w:tcW w:w="673" w:type="pct"/>
          </w:tcPr>
          <w:p w14:paraId="746EDA9B" w14:textId="77777777" w:rsidR="007F4791" w:rsidRPr="00A25F2C" w:rsidRDefault="007F4791" w:rsidP="00F13D2F">
            <w:pPr>
              <w:pStyle w:val="TableBodyText"/>
              <w:jc w:val="right"/>
            </w:pPr>
            <w:r w:rsidRPr="00A25F2C">
              <w:t>(1,186.2)</w:t>
            </w:r>
          </w:p>
        </w:tc>
        <w:tc>
          <w:tcPr>
            <w:tcW w:w="555" w:type="pct"/>
          </w:tcPr>
          <w:p w14:paraId="5BC5628B" w14:textId="77777777" w:rsidR="007F4791" w:rsidRPr="00A25F2C" w:rsidRDefault="007F4791" w:rsidP="00F13D2F">
            <w:pPr>
              <w:pStyle w:val="TableBodyText"/>
              <w:jc w:val="right"/>
            </w:pPr>
            <w:r w:rsidRPr="00A25F2C">
              <w:t>(337.3)</w:t>
            </w:r>
          </w:p>
        </w:tc>
        <w:tc>
          <w:tcPr>
            <w:tcW w:w="558" w:type="pct"/>
          </w:tcPr>
          <w:p w14:paraId="3E62609D" w14:textId="77777777" w:rsidR="007F4791" w:rsidRPr="00A25F2C" w:rsidRDefault="007F4791" w:rsidP="00F13D2F">
            <w:pPr>
              <w:pStyle w:val="TableBodyText"/>
              <w:jc w:val="right"/>
            </w:pPr>
            <w:r w:rsidRPr="00A25F2C">
              <w:t>(297.2)</w:t>
            </w:r>
          </w:p>
        </w:tc>
        <w:tc>
          <w:tcPr>
            <w:tcW w:w="558" w:type="pct"/>
          </w:tcPr>
          <w:p w14:paraId="5F213303" w14:textId="77777777" w:rsidR="007F4791" w:rsidRPr="00A25F2C" w:rsidRDefault="007F4791" w:rsidP="00F13D2F">
            <w:pPr>
              <w:pStyle w:val="TableBodyText"/>
              <w:jc w:val="right"/>
            </w:pPr>
            <w:r w:rsidRPr="00A25F2C">
              <w:t>(278.6)</w:t>
            </w:r>
          </w:p>
        </w:tc>
        <w:tc>
          <w:tcPr>
            <w:tcW w:w="505" w:type="pct"/>
          </w:tcPr>
          <w:p w14:paraId="17AEDAFA" w14:textId="77777777" w:rsidR="007F4791" w:rsidRPr="00A25F2C" w:rsidRDefault="007F4791" w:rsidP="00F13D2F">
            <w:pPr>
              <w:pStyle w:val="TableBodyText"/>
              <w:jc w:val="right"/>
            </w:pPr>
            <w:r w:rsidRPr="00A25F2C">
              <w:t>(273.1)</w:t>
            </w:r>
          </w:p>
        </w:tc>
      </w:tr>
      <w:tr w:rsidR="007F4791" w:rsidRPr="00A25F2C" w14:paraId="4CAD5A84" w14:textId="77777777" w:rsidTr="00F13D2F">
        <w:tc>
          <w:tcPr>
            <w:tcW w:w="2151" w:type="pct"/>
          </w:tcPr>
          <w:p w14:paraId="42FC8A77" w14:textId="77777777" w:rsidR="007F4791" w:rsidRPr="00A25F2C" w:rsidRDefault="007F4791" w:rsidP="004E1FA1">
            <w:pPr>
              <w:pStyle w:val="TableBodyText"/>
            </w:pPr>
            <w:r w:rsidRPr="00A25F2C">
              <w:t>Proceeds from Asset Sales</w:t>
            </w:r>
          </w:p>
        </w:tc>
        <w:tc>
          <w:tcPr>
            <w:tcW w:w="673" w:type="pct"/>
          </w:tcPr>
          <w:p w14:paraId="6D58C24E" w14:textId="77777777" w:rsidR="007F4791" w:rsidRPr="00A25F2C" w:rsidRDefault="007F4791" w:rsidP="00F13D2F">
            <w:pPr>
              <w:pStyle w:val="TableBodyText"/>
              <w:jc w:val="right"/>
            </w:pPr>
            <w:r w:rsidRPr="00A25F2C">
              <w:t>37.2</w:t>
            </w:r>
          </w:p>
        </w:tc>
        <w:tc>
          <w:tcPr>
            <w:tcW w:w="555" w:type="pct"/>
          </w:tcPr>
          <w:p w14:paraId="01232AB1" w14:textId="77777777" w:rsidR="007F4791" w:rsidRPr="00A25F2C" w:rsidRDefault="007F4791" w:rsidP="00F13D2F">
            <w:pPr>
              <w:pStyle w:val="TableBodyText"/>
              <w:jc w:val="right"/>
            </w:pPr>
            <w:r w:rsidRPr="00A25F2C">
              <w:t>9.3</w:t>
            </w:r>
          </w:p>
        </w:tc>
        <w:tc>
          <w:tcPr>
            <w:tcW w:w="558" w:type="pct"/>
          </w:tcPr>
          <w:p w14:paraId="3D29819F" w14:textId="77777777" w:rsidR="007F4791" w:rsidRPr="00A25F2C" w:rsidRDefault="007F4791" w:rsidP="00F13D2F">
            <w:pPr>
              <w:pStyle w:val="TableBodyText"/>
              <w:jc w:val="right"/>
            </w:pPr>
            <w:r w:rsidRPr="00A25F2C">
              <w:t>9.3</w:t>
            </w:r>
          </w:p>
        </w:tc>
        <w:tc>
          <w:tcPr>
            <w:tcW w:w="558" w:type="pct"/>
          </w:tcPr>
          <w:p w14:paraId="7C5E88E0" w14:textId="77777777" w:rsidR="007F4791" w:rsidRPr="00A25F2C" w:rsidRDefault="007F4791" w:rsidP="00F13D2F">
            <w:pPr>
              <w:pStyle w:val="TableBodyText"/>
              <w:jc w:val="right"/>
            </w:pPr>
            <w:r w:rsidRPr="00A25F2C">
              <w:t>9.3</w:t>
            </w:r>
          </w:p>
        </w:tc>
        <w:tc>
          <w:tcPr>
            <w:tcW w:w="505" w:type="pct"/>
          </w:tcPr>
          <w:p w14:paraId="51B5F60E" w14:textId="77777777" w:rsidR="007F4791" w:rsidRPr="00A25F2C" w:rsidRDefault="007F4791" w:rsidP="00F13D2F">
            <w:pPr>
              <w:pStyle w:val="TableBodyText"/>
              <w:jc w:val="right"/>
            </w:pPr>
            <w:r w:rsidRPr="00A25F2C">
              <w:t>9.3</w:t>
            </w:r>
          </w:p>
        </w:tc>
      </w:tr>
      <w:tr w:rsidR="007F4791" w:rsidRPr="00A25F2C" w14:paraId="13776A03" w14:textId="77777777" w:rsidTr="00F13D2F">
        <w:tc>
          <w:tcPr>
            <w:tcW w:w="2151" w:type="pct"/>
          </w:tcPr>
          <w:p w14:paraId="31765538" w14:textId="77777777" w:rsidR="007F4791" w:rsidRPr="00A25F2C" w:rsidRDefault="007F4791" w:rsidP="004E1FA1">
            <w:pPr>
              <w:pStyle w:val="TableBodyText"/>
            </w:pPr>
            <w:r w:rsidRPr="00A25F2C">
              <w:rPr>
                <w:b/>
              </w:rPr>
              <w:t>Total Cash Flow from Investing Activities</w:t>
            </w:r>
          </w:p>
        </w:tc>
        <w:tc>
          <w:tcPr>
            <w:tcW w:w="673" w:type="pct"/>
          </w:tcPr>
          <w:p w14:paraId="23B001F6" w14:textId="77777777" w:rsidR="007F4791" w:rsidRPr="00A25F2C" w:rsidRDefault="007F4791" w:rsidP="00F13D2F">
            <w:pPr>
              <w:pStyle w:val="TableBodyText"/>
              <w:jc w:val="right"/>
            </w:pPr>
            <w:r w:rsidRPr="00A25F2C">
              <w:rPr>
                <w:b/>
              </w:rPr>
              <w:t>(1,149.0)</w:t>
            </w:r>
          </w:p>
        </w:tc>
        <w:tc>
          <w:tcPr>
            <w:tcW w:w="555" w:type="pct"/>
          </w:tcPr>
          <w:p w14:paraId="3248122F" w14:textId="77777777" w:rsidR="007F4791" w:rsidRPr="00A25F2C" w:rsidRDefault="007F4791" w:rsidP="00F13D2F">
            <w:pPr>
              <w:pStyle w:val="TableBodyText"/>
              <w:jc w:val="right"/>
            </w:pPr>
            <w:r w:rsidRPr="00A25F2C">
              <w:rPr>
                <w:b/>
              </w:rPr>
              <w:t>(328.0)</w:t>
            </w:r>
          </w:p>
        </w:tc>
        <w:tc>
          <w:tcPr>
            <w:tcW w:w="558" w:type="pct"/>
          </w:tcPr>
          <w:p w14:paraId="11EE6A6C" w14:textId="77777777" w:rsidR="007F4791" w:rsidRPr="00A25F2C" w:rsidRDefault="007F4791" w:rsidP="00F13D2F">
            <w:pPr>
              <w:pStyle w:val="TableBodyText"/>
              <w:jc w:val="right"/>
            </w:pPr>
            <w:r w:rsidRPr="00A25F2C">
              <w:rPr>
                <w:b/>
              </w:rPr>
              <w:t>(287.9)</w:t>
            </w:r>
          </w:p>
        </w:tc>
        <w:tc>
          <w:tcPr>
            <w:tcW w:w="558" w:type="pct"/>
          </w:tcPr>
          <w:p w14:paraId="02756071" w14:textId="77777777" w:rsidR="007F4791" w:rsidRPr="00A25F2C" w:rsidRDefault="007F4791" w:rsidP="00F13D2F">
            <w:pPr>
              <w:pStyle w:val="TableBodyText"/>
              <w:jc w:val="right"/>
            </w:pPr>
            <w:r w:rsidRPr="00A25F2C">
              <w:rPr>
                <w:b/>
              </w:rPr>
              <w:t>(269.3)</w:t>
            </w:r>
          </w:p>
        </w:tc>
        <w:tc>
          <w:tcPr>
            <w:tcW w:w="505" w:type="pct"/>
          </w:tcPr>
          <w:p w14:paraId="6C019329" w14:textId="77777777" w:rsidR="007F4791" w:rsidRPr="00A25F2C" w:rsidRDefault="007F4791" w:rsidP="00F13D2F">
            <w:pPr>
              <w:pStyle w:val="TableBodyText"/>
              <w:jc w:val="right"/>
              <w:rPr>
                <w:b/>
              </w:rPr>
            </w:pPr>
            <w:r w:rsidRPr="00A25F2C">
              <w:rPr>
                <w:b/>
              </w:rPr>
              <w:t>(263.8)</w:t>
            </w:r>
          </w:p>
        </w:tc>
      </w:tr>
      <w:tr w:rsidR="007F4791" w:rsidRPr="00A25F2C" w14:paraId="10953A05" w14:textId="77777777" w:rsidTr="00F13D2F">
        <w:tc>
          <w:tcPr>
            <w:tcW w:w="2151" w:type="pct"/>
          </w:tcPr>
          <w:p w14:paraId="672A9EAC" w14:textId="31CBE1D0" w:rsidR="007F4791" w:rsidRPr="00A25F2C" w:rsidRDefault="007F4791" w:rsidP="004E1FA1">
            <w:pPr>
              <w:pStyle w:val="TableBodyText"/>
            </w:pPr>
            <w:r w:rsidRPr="00A25F2C">
              <w:rPr>
                <w:b/>
              </w:rPr>
              <w:t>Free Cash Flow</w:t>
            </w:r>
            <w:r w:rsidR="00E04EDF">
              <w:rPr>
                <w:b/>
              </w:rPr>
              <w:t xml:space="preserve"> </w:t>
            </w:r>
            <w:hyperlink w:anchor="NoteE14" w:history="1">
              <w:r w:rsidR="00E04EDF" w:rsidRPr="00E04EDF">
                <w:rPr>
                  <w:rStyle w:val="Hyperlink"/>
                  <w:b/>
                </w:rPr>
                <w:t>See note</w:t>
              </w:r>
            </w:hyperlink>
          </w:p>
        </w:tc>
        <w:tc>
          <w:tcPr>
            <w:tcW w:w="673" w:type="pct"/>
          </w:tcPr>
          <w:p w14:paraId="6916256B" w14:textId="77777777" w:rsidR="007F4791" w:rsidRPr="00A25F2C" w:rsidRDefault="007F4791" w:rsidP="00F13D2F">
            <w:pPr>
              <w:pStyle w:val="TableBodyText"/>
              <w:jc w:val="right"/>
            </w:pPr>
            <w:r w:rsidRPr="00A25F2C">
              <w:rPr>
                <w:b/>
              </w:rPr>
              <w:t>(650.7)</w:t>
            </w:r>
          </w:p>
        </w:tc>
        <w:tc>
          <w:tcPr>
            <w:tcW w:w="555" w:type="pct"/>
          </w:tcPr>
          <w:p w14:paraId="11A65A28" w14:textId="77777777" w:rsidR="007F4791" w:rsidRPr="00A25F2C" w:rsidRDefault="007F4791" w:rsidP="00F13D2F">
            <w:pPr>
              <w:pStyle w:val="TableBodyText"/>
              <w:jc w:val="right"/>
            </w:pPr>
            <w:r w:rsidRPr="00A25F2C">
              <w:rPr>
                <w:b/>
              </w:rPr>
              <w:t>(239.3)</w:t>
            </w:r>
          </w:p>
        </w:tc>
        <w:tc>
          <w:tcPr>
            <w:tcW w:w="558" w:type="pct"/>
          </w:tcPr>
          <w:p w14:paraId="35DD73AB" w14:textId="77777777" w:rsidR="007F4791" w:rsidRPr="00A25F2C" w:rsidRDefault="007F4791" w:rsidP="00F13D2F">
            <w:pPr>
              <w:pStyle w:val="TableBodyText"/>
              <w:jc w:val="right"/>
            </w:pPr>
            <w:r w:rsidRPr="00A25F2C">
              <w:rPr>
                <w:b/>
              </w:rPr>
              <w:t>(141.6)</w:t>
            </w:r>
          </w:p>
        </w:tc>
        <w:tc>
          <w:tcPr>
            <w:tcW w:w="558" w:type="pct"/>
          </w:tcPr>
          <w:p w14:paraId="0BAB375F" w14:textId="77777777" w:rsidR="007F4791" w:rsidRPr="00A25F2C" w:rsidRDefault="007F4791" w:rsidP="00F13D2F">
            <w:pPr>
              <w:pStyle w:val="TableBodyText"/>
              <w:jc w:val="right"/>
            </w:pPr>
            <w:r w:rsidRPr="00A25F2C">
              <w:rPr>
                <w:b/>
              </w:rPr>
              <w:t>(157.5)</w:t>
            </w:r>
          </w:p>
        </w:tc>
        <w:tc>
          <w:tcPr>
            <w:tcW w:w="505" w:type="pct"/>
          </w:tcPr>
          <w:p w14:paraId="4277FF98" w14:textId="77777777" w:rsidR="007F4791" w:rsidRPr="00A25F2C" w:rsidRDefault="007F4791" w:rsidP="00F13D2F">
            <w:pPr>
              <w:pStyle w:val="TableBodyText"/>
              <w:jc w:val="right"/>
              <w:rPr>
                <w:b/>
              </w:rPr>
            </w:pPr>
            <w:r w:rsidRPr="00A25F2C">
              <w:rPr>
                <w:b/>
              </w:rPr>
              <w:t>(112.3)</w:t>
            </w:r>
          </w:p>
        </w:tc>
      </w:tr>
      <w:tr w:rsidR="007F4791" w:rsidRPr="00A25F2C" w14:paraId="6A7ADFF0" w14:textId="77777777" w:rsidTr="00F13D2F">
        <w:tc>
          <w:tcPr>
            <w:tcW w:w="2151" w:type="pct"/>
          </w:tcPr>
          <w:p w14:paraId="47DF9673" w14:textId="77777777" w:rsidR="007F4791" w:rsidRPr="00A25F2C" w:rsidRDefault="007F4791" w:rsidP="004E1FA1">
            <w:pPr>
              <w:pStyle w:val="TableBodyText"/>
              <w:rPr>
                <w:b/>
              </w:rPr>
            </w:pPr>
            <w:r w:rsidRPr="00A25F2C">
              <w:rPr>
                <w:b/>
              </w:rPr>
              <w:t>Cash Flow from Financing Activities</w:t>
            </w:r>
          </w:p>
        </w:tc>
        <w:tc>
          <w:tcPr>
            <w:tcW w:w="673" w:type="pct"/>
          </w:tcPr>
          <w:p w14:paraId="679BA24D" w14:textId="17E2CB6E" w:rsidR="007F4791" w:rsidRPr="00A25F2C" w:rsidRDefault="00995D31" w:rsidP="00F13D2F">
            <w:pPr>
              <w:spacing w:before="0" w:after="0"/>
              <w:jc w:val="right"/>
            </w:pPr>
            <w:r>
              <w:t>N/A</w:t>
            </w:r>
          </w:p>
        </w:tc>
        <w:tc>
          <w:tcPr>
            <w:tcW w:w="555" w:type="pct"/>
          </w:tcPr>
          <w:p w14:paraId="58AE4CB9" w14:textId="713A3DFE" w:rsidR="007F4791" w:rsidRPr="00A25F2C" w:rsidRDefault="00995D31" w:rsidP="00F13D2F">
            <w:pPr>
              <w:spacing w:before="0" w:after="0"/>
              <w:jc w:val="right"/>
            </w:pPr>
            <w:r>
              <w:t>N/A</w:t>
            </w:r>
          </w:p>
        </w:tc>
        <w:tc>
          <w:tcPr>
            <w:tcW w:w="558" w:type="pct"/>
          </w:tcPr>
          <w:p w14:paraId="31C22C80" w14:textId="7847E0A7" w:rsidR="007F4791" w:rsidRPr="00A25F2C" w:rsidRDefault="00995D31" w:rsidP="00F13D2F">
            <w:pPr>
              <w:spacing w:before="0" w:after="0"/>
              <w:jc w:val="right"/>
            </w:pPr>
            <w:r>
              <w:t>N/A</w:t>
            </w:r>
          </w:p>
        </w:tc>
        <w:tc>
          <w:tcPr>
            <w:tcW w:w="558" w:type="pct"/>
          </w:tcPr>
          <w:p w14:paraId="0131F56F" w14:textId="3C6C7973" w:rsidR="007F4791" w:rsidRPr="00A25F2C" w:rsidRDefault="00995D31" w:rsidP="00F13D2F">
            <w:pPr>
              <w:spacing w:before="0" w:after="0"/>
              <w:jc w:val="right"/>
            </w:pPr>
            <w:r>
              <w:t>N/A</w:t>
            </w:r>
          </w:p>
        </w:tc>
        <w:tc>
          <w:tcPr>
            <w:tcW w:w="505" w:type="pct"/>
          </w:tcPr>
          <w:p w14:paraId="74A14903" w14:textId="36C4C2B2" w:rsidR="007F4791" w:rsidRPr="00A25F2C" w:rsidRDefault="00995D31" w:rsidP="00F13D2F">
            <w:pPr>
              <w:pStyle w:val="TableBodyText"/>
              <w:jc w:val="right"/>
            </w:pPr>
            <w:r>
              <w:t>N/A</w:t>
            </w:r>
          </w:p>
        </w:tc>
      </w:tr>
      <w:tr w:rsidR="007F4791" w:rsidRPr="00A25F2C" w14:paraId="74071089" w14:textId="77777777" w:rsidTr="00F13D2F">
        <w:tc>
          <w:tcPr>
            <w:tcW w:w="2151" w:type="pct"/>
          </w:tcPr>
          <w:p w14:paraId="06EDFC7E" w14:textId="77777777" w:rsidR="007F4791" w:rsidRPr="00A25F2C" w:rsidRDefault="007F4791" w:rsidP="004E1FA1">
            <w:pPr>
              <w:pStyle w:val="TableBodyText"/>
            </w:pPr>
            <w:r w:rsidRPr="00A25F2C">
              <w:t>Net Borrowings/(Repayments)</w:t>
            </w:r>
          </w:p>
        </w:tc>
        <w:tc>
          <w:tcPr>
            <w:tcW w:w="673" w:type="pct"/>
          </w:tcPr>
          <w:p w14:paraId="72FC1C60" w14:textId="77777777" w:rsidR="007F4791" w:rsidRPr="00A25F2C" w:rsidRDefault="007F4791" w:rsidP="00F13D2F">
            <w:pPr>
              <w:pStyle w:val="TableBodyText"/>
              <w:jc w:val="right"/>
            </w:pPr>
            <w:r w:rsidRPr="00A25F2C">
              <w:t>716.7</w:t>
            </w:r>
          </w:p>
        </w:tc>
        <w:tc>
          <w:tcPr>
            <w:tcW w:w="555" w:type="pct"/>
          </w:tcPr>
          <w:p w14:paraId="4CD98E54" w14:textId="77777777" w:rsidR="007F4791" w:rsidRPr="00A25F2C" w:rsidRDefault="007F4791" w:rsidP="00F13D2F">
            <w:pPr>
              <w:pStyle w:val="TableBodyText"/>
              <w:jc w:val="right"/>
            </w:pPr>
            <w:r w:rsidRPr="00A25F2C">
              <w:t>242.7</w:t>
            </w:r>
          </w:p>
        </w:tc>
        <w:tc>
          <w:tcPr>
            <w:tcW w:w="558" w:type="pct"/>
          </w:tcPr>
          <w:p w14:paraId="5136054E" w14:textId="77777777" w:rsidR="007F4791" w:rsidRPr="00A25F2C" w:rsidRDefault="007F4791" w:rsidP="00F13D2F">
            <w:pPr>
              <w:pStyle w:val="TableBodyText"/>
              <w:jc w:val="right"/>
            </w:pPr>
            <w:r w:rsidRPr="00A25F2C">
              <w:t>145.5</w:t>
            </w:r>
          </w:p>
        </w:tc>
        <w:tc>
          <w:tcPr>
            <w:tcW w:w="558" w:type="pct"/>
          </w:tcPr>
          <w:p w14:paraId="2076648B" w14:textId="77777777" w:rsidR="007F4791" w:rsidRPr="00A25F2C" w:rsidRDefault="007F4791" w:rsidP="00F13D2F">
            <w:pPr>
              <w:pStyle w:val="TableBodyText"/>
              <w:jc w:val="right"/>
            </w:pPr>
            <w:r w:rsidRPr="00A25F2C">
              <w:t>162.5</w:t>
            </w:r>
          </w:p>
        </w:tc>
        <w:tc>
          <w:tcPr>
            <w:tcW w:w="505" w:type="pct"/>
          </w:tcPr>
          <w:p w14:paraId="78FBEEDA" w14:textId="77777777" w:rsidR="007F4791" w:rsidRPr="00A25F2C" w:rsidRDefault="007F4791" w:rsidP="00F13D2F">
            <w:pPr>
              <w:pStyle w:val="TableBodyText"/>
              <w:jc w:val="right"/>
            </w:pPr>
            <w:r w:rsidRPr="00A25F2C">
              <w:t>166.0</w:t>
            </w:r>
          </w:p>
        </w:tc>
      </w:tr>
      <w:tr w:rsidR="007F4791" w:rsidRPr="00A25F2C" w14:paraId="4EE3962E" w14:textId="77777777" w:rsidTr="00F13D2F">
        <w:tc>
          <w:tcPr>
            <w:tcW w:w="2151" w:type="pct"/>
          </w:tcPr>
          <w:p w14:paraId="4E1254F9" w14:textId="7936FF1D" w:rsidR="007F4791" w:rsidRPr="00A25F2C" w:rsidRDefault="007F4791" w:rsidP="004E1FA1">
            <w:pPr>
              <w:pStyle w:val="TableBodyText"/>
            </w:pPr>
            <w:r w:rsidRPr="00A25F2C">
              <w:t xml:space="preserve">VDP Service Concession </w:t>
            </w:r>
            <w:r w:rsidR="005C41F0" w:rsidRPr="00A25F2C">
              <w:t>liability</w:t>
            </w:r>
            <w:r w:rsidRPr="00A25F2C">
              <w:t xml:space="preserve"> and Lease Repayments</w:t>
            </w:r>
          </w:p>
        </w:tc>
        <w:tc>
          <w:tcPr>
            <w:tcW w:w="673" w:type="pct"/>
          </w:tcPr>
          <w:p w14:paraId="3052C261" w14:textId="77777777" w:rsidR="007F4791" w:rsidRPr="00A25F2C" w:rsidRDefault="007F4791" w:rsidP="00F13D2F">
            <w:pPr>
              <w:pStyle w:val="TableBodyText"/>
              <w:jc w:val="right"/>
            </w:pPr>
            <w:r w:rsidRPr="00A25F2C">
              <w:t>(55.6)</w:t>
            </w:r>
          </w:p>
        </w:tc>
        <w:tc>
          <w:tcPr>
            <w:tcW w:w="555" w:type="pct"/>
          </w:tcPr>
          <w:p w14:paraId="71F7C89F" w14:textId="77777777" w:rsidR="007F4791" w:rsidRPr="00A25F2C" w:rsidRDefault="007F4791" w:rsidP="00F13D2F">
            <w:pPr>
              <w:pStyle w:val="TableBodyText"/>
              <w:jc w:val="right"/>
            </w:pPr>
            <w:r w:rsidRPr="00A25F2C">
              <w:t>(12.8)</w:t>
            </w:r>
          </w:p>
        </w:tc>
        <w:tc>
          <w:tcPr>
            <w:tcW w:w="558" w:type="pct"/>
          </w:tcPr>
          <w:p w14:paraId="49D85D3E" w14:textId="77777777" w:rsidR="007F4791" w:rsidRPr="00A25F2C" w:rsidRDefault="007F4791" w:rsidP="00F13D2F">
            <w:pPr>
              <w:pStyle w:val="TableBodyText"/>
              <w:jc w:val="right"/>
            </w:pPr>
            <w:r w:rsidRPr="00A25F2C">
              <w:t>(13.3)</w:t>
            </w:r>
          </w:p>
        </w:tc>
        <w:tc>
          <w:tcPr>
            <w:tcW w:w="558" w:type="pct"/>
          </w:tcPr>
          <w:p w14:paraId="0C7DF981" w14:textId="77777777" w:rsidR="007F4791" w:rsidRPr="00A25F2C" w:rsidRDefault="007F4791" w:rsidP="00F13D2F">
            <w:pPr>
              <w:pStyle w:val="TableBodyText"/>
              <w:jc w:val="right"/>
            </w:pPr>
            <w:r w:rsidRPr="00A25F2C">
              <w:t>(14.2)</w:t>
            </w:r>
          </w:p>
        </w:tc>
        <w:tc>
          <w:tcPr>
            <w:tcW w:w="505" w:type="pct"/>
          </w:tcPr>
          <w:p w14:paraId="57D98581" w14:textId="77777777" w:rsidR="007F4791" w:rsidRPr="00A25F2C" w:rsidRDefault="007F4791" w:rsidP="00F13D2F">
            <w:pPr>
              <w:pStyle w:val="TableBodyText"/>
              <w:jc w:val="right"/>
            </w:pPr>
            <w:r w:rsidRPr="00A25F2C">
              <w:t>(15.3)</w:t>
            </w:r>
          </w:p>
        </w:tc>
      </w:tr>
      <w:tr w:rsidR="007F4791" w:rsidRPr="00A25F2C" w14:paraId="2B60D81B" w14:textId="77777777" w:rsidTr="00F13D2F">
        <w:tc>
          <w:tcPr>
            <w:tcW w:w="2151" w:type="pct"/>
          </w:tcPr>
          <w:p w14:paraId="0C054745" w14:textId="77777777" w:rsidR="007F4791" w:rsidRPr="00A25F2C" w:rsidRDefault="007F4791" w:rsidP="004E1FA1">
            <w:pPr>
              <w:pStyle w:val="TableBodyText"/>
            </w:pPr>
            <w:r w:rsidRPr="00A25F2C">
              <w:t>Capital Repatriation</w:t>
            </w:r>
          </w:p>
        </w:tc>
        <w:tc>
          <w:tcPr>
            <w:tcW w:w="673" w:type="pct"/>
          </w:tcPr>
          <w:p w14:paraId="418BCC67" w14:textId="77777777" w:rsidR="007F4791" w:rsidRPr="00A25F2C" w:rsidRDefault="007F4791" w:rsidP="00F13D2F">
            <w:pPr>
              <w:pStyle w:val="TableBodyText"/>
              <w:jc w:val="right"/>
            </w:pPr>
            <w:r w:rsidRPr="00A25F2C">
              <w:t>(40.4)</w:t>
            </w:r>
          </w:p>
        </w:tc>
        <w:tc>
          <w:tcPr>
            <w:tcW w:w="555" w:type="pct"/>
          </w:tcPr>
          <w:p w14:paraId="2B2D56F3" w14:textId="77777777" w:rsidR="007F4791" w:rsidRPr="00A25F2C" w:rsidRDefault="007F4791" w:rsidP="00F13D2F">
            <w:pPr>
              <w:pStyle w:val="TableBodyText"/>
              <w:jc w:val="right"/>
            </w:pPr>
            <w:r w:rsidRPr="00A25F2C">
              <w:t>0.0</w:t>
            </w:r>
          </w:p>
        </w:tc>
        <w:tc>
          <w:tcPr>
            <w:tcW w:w="558" w:type="pct"/>
          </w:tcPr>
          <w:p w14:paraId="056D5F5B" w14:textId="77777777" w:rsidR="007F4791" w:rsidRPr="00A25F2C" w:rsidRDefault="007F4791" w:rsidP="00F13D2F">
            <w:pPr>
              <w:pStyle w:val="TableBodyText"/>
              <w:jc w:val="right"/>
            </w:pPr>
            <w:r w:rsidRPr="00A25F2C">
              <w:t>0.0</w:t>
            </w:r>
          </w:p>
        </w:tc>
        <w:tc>
          <w:tcPr>
            <w:tcW w:w="558" w:type="pct"/>
          </w:tcPr>
          <w:p w14:paraId="4FEFC694" w14:textId="77777777" w:rsidR="007F4791" w:rsidRPr="00A25F2C" w:rsidRDefault="007F4791" w:rsidP="00F13D2F">
            <w:pPr>
              <w:pStyle w:val="TableBodyText"/>
              <w:jc w:val="right"/>
            </w:pPr>
            <w:r w:rsidRPr="00A25F2C">
              <w:t>0.0</w:t>
            </w:r>
          </w:p>
        </w:tc>
        <w:tc>
          <w:tcPr>
            <w:tcW w:w="505" w:type="pct"/>
          </w:tcPr>
          <w:p w14:paraId="3CA1EF29" w14:textId="77777777" w:rsidR="007F4791" w:rsidRPr="00A25F2C" w:rsidRDefault="007F4791" w:rsidP="00F13D2F">
            <w:pPr>
              <w:pStyle w:val="TableBodyText"/>
              <w:jc w:val="right"/>
            </w:pPr>
            <w:r w:rsidRPr="00A25F2C">
              <w:t>(40.4)</w:t>
            </w:r>
          </w:p>
        </w:tc>
      </w:tr>
      <w:tr w:rsidR="007F4791" w:rsidRPr="00A25F2C" w14:paraId="2FCED071" w14:textId="77777777" w:rsidTr="00F13D2F">
        <w:tc>
          <w:tcPr>
            <w:tcW w:w="2151" w:type="pct"/>
          </w:tcPr>
          <w:p w14:paraId="3D4F3FFA" w14:textId="77777777" w:rsidR="007F4791" w:rsidRPr="00A25F2C" w:rsidRDefault="007F4791" w:rsidP="004E1FA1">
            <w:pPr>
              <w:pStyle w:val="TableBodyText"/>
            </w:pPr>
            <w:r w:rsidRPr="00A25F2C">
              <w:t>Dividends Paid</w:t>
            </w:r>
          </w:p>
        </w:tc>
        <w:tc>
          <w:tcPr>
            <w:tcW w:w="673" w:type="pct"/>
          </w:tcPr>
          <w:p w14:paraId="24562E31" w14:textId="77777777" w:rsidR="007F4791" w:rsidRPr="00A25F2C" w:rsidRDefault="007F4791" w:rsidP="00F13D2F">
            <w:pPr>
              <w:pStyle w:val="TableBodyText"/>
              <w:jc w:val="right"/>
            </w:pPr>
            <w:r w:rsidRPr="00A25F2C">
              <w:t>(7.3)</w:t>
            </w:r>
          </w:p>
        </w:tc>
        <w:tc>
          <w:tcPr>
            <w:tcW w:w="555" w:type="pct"/>
          </w:tcPr>
          <w:p w14:paraId="1936D583" w14:textId="77777777" w:rsidR="007F4791" w:rsidRPr="00A25F2C" w:rsidRDefault="007F4791" w:rsidP="00F13D2F">
            <w:pPr>
              <w:pStyle w:val="TableBodyText"/>
              <w:jc w:val="right"/>
            </w:pPr>
            <w:r w:rsidRPr="00A25F2C">
              <w:t>0.0</w:t>
            </w:r>
          </w:p>
        </w:tc>
        <w:tc>
          <w:tcPr>
            <w:tcW w:w="558" w:type="pct"/>
          </w:tcPr>
          <w:p w14:paraId="67A9AF8B" w14:textId="77777777" w:rsidR="007F4791" w:rsidRPr="00A25F2C" w:rsidRDefault="007F4791" w:rsidP="00F13D2F">
            <w:pPr>
              <w:pStyle w:val="TableBodyText"/>
              <w:jc w:val="right"/>
            </w:pPr>
            <w:r w:rsidRPr="00A25F2C">
              <w:t>0.0</w:t>
            </w:r>
          </w:p>
        </w:tc>
        <w:tc>
          <w:tcPr>
            <w:tcW w:w="558" w:type="pct"/>
          </w:tcPr>
          <w:p w14:paraId="73C06719" w14:textId="77777777" w:rsidR="007F4791" w:rsidRPr="00A25F2C" w:rsidRDefault="007F4791" w:rsidP="00F13D2F">
            <w:pPr>
              <w:pStyle w:val="TableBodyText"/>
              <w:jc w:val="right"/>
            </w:pPr>
            <w:r w:rsidRPr="00A25F2C">
              <w:t>0.0</w:t>
            </w:r>
          </w:p>
        </w:tc>
        <w:tc>
          <w:tcPr>
            <w:tcW w:w="505" w:type="pct"/>
          </w:tcPr>
          <w:p w14:paraId="374010BC" w14:textId="77777777" w:rsidR="007F4791" w:rsidRPr="00A25F2C" w:rsidRDefault="007F4791" w:rsidP="00F13D2F">
            <w:pPr>
              <w:pStyle w:val="TableBodyText"/>
              <w:jc w:val="right"/>
            </w:pPr>
            <w:r w:rsidRPr="00A25F2C">
              <w:t>(7.3)</w:t>
            </w:r>
          </w:p>
        </w:tc>
      </w:tr>
      <w:tr w:rsidR="007F4791" w:rsidRPr="00A25F2C" w14:paraId="7DD53531" w14:textId="77777777" w:rsidTr="00F13D2F">
        <w:tc>
          <w:tcPr>
            <w:tcW w:w="2151" w:type="pct"/>
          </w:tcPr>
          <w:p w14:paraId="2C1F5838" w14:textId="77777777" w:rsidR="007F4791" w:rsidRPr="00A25F2C" w:rsidRDefault="007F4791" w:rsidP="004E1FA1">
            <w:pPr>
              <w:pStyle w:val="TableBodyText"/>
            </w:pPr>
            <w:r w:rsidRPr="00A25F2C">
              <w:rPr>
                <w:b/>
              </w:rPr>
              <w:t>Total Cash Flow from Financing Activities</w:t>
            </w:r>
          </w:p>
        </w:tc>
        <w:tc>
          <w:tcPr>
            <w:tcW w:w="673" w:type="pct"/>
          </w:tcPr>
          <w:p w14:paraId="498815AA" w14:textId="77777777" w:rsidR="007F4791" w:rsidRPr="00A25F2C" w:rsidRDefault="007F4791" w:rsidP="00F13D2F">
            <w:pPr>
              <w:pStyle w:val="TableBodyText"/>
              <w:jc w:val="right"/>
            </w:pPr>
            <w:r w:rsidRPr="00A25F2C">
              <w:rPr>
                <w:b/>
              </w:rPr>
              <w:t>613.4</w:t>
            </w:r>
          </w:p>
        </w:tc>
        <w:tc>
          <w:tcPr>
            <w:tcW w:w="555" w:type="pct"/>
          </w:tcPr>
          <w:p w14:paraId="04B3F2E1" w14:textId="77777777" w:rsidR="007F4791" w:rsidRPr="00A25F2C" w:rsidRDefault="007F4791" w:rsidP="00F13D2F">
            <w:pPr>
              <w:pStyle w:val="TableBodyText"/>
              <w:jc w:val="right"/>
            </w:pPr>
            <w:r w:rsidRPr="00A25F2C">
              <w:rPr>
                <w:b/>
              </w:rPr>
              <w:t>229.9</w:t>
            </w:r>
          </w:p>
        </w:tc>
        <w:tc>
          <w:tcPr>
            <w:tcW w:w="558" w:type="pct"/>
          </w:tcPr>
          <w:p w14:paraId="0679463B" w14:textId="77777777" w:rsidR="007F4791" w:rsidRPr="00A25F2C" w:rsidRDefault="007F4791" w:rsidP="00F13D2F">
            <w:pPr>
              <w:pStyle w:val="TableBodyText"/>
              <w:jc w:val="right"/>
            </w:pPr>
            <w:r w:rsidRPr="00A25F2C">
              <w:rPr>
                <w:b/>
              </w:rPr>
              <w:t>132.2</w:t>
            </w:r>
          </w:p>
        </w:tc>
        <w:tc>
          <w:tcPr>
            <w:tcW w:w="558" w:type="pct"/>
          </w:tcPr>
          <w:p w14:paraId="75880A84" w14:textId="77777777" w:rsidR="007F4791" w:rsidRPr="00A25F2C" w:rsidRDefault="007F4791" w:rsidP="00F13D2F">
            <w:pPr>
              <w:pStyle w:val="TableBodyText"/>
              <w:jc w:val="right"/>
            </w:pPr>
            <w:r w:rsidRPr="00A25F2C">
              <w:rPr>
                <w:b/>
              </w:rPr>
              <w:t>148.3</w:t>
            </w:r>
          </w:p>
        </w:tc>
        <w:tc>
          <w:tcPr>
            <w:tcW w:w="505" w:type="pct"/>
          </w:tcPr>
          <w:p w14:paraId="7F0855EC" w14:textId="77777777" w:rsidR="007F4791" w:rsidRPr="00A25F2C" w:rsidRDefault="007F4791" w:rsidP="00F13D2F">
            <w:pPr>
              <w:pStyle w:val="TableBodyText"/>
              <w:jc w:val="right"/>
              <w:rPr>
                <w:b/>
              </w:rPr>
            </w:pPr>
            <w:r w:rsidRPr="00A25F2C">
              <w:rPr>
                <w:b/>
              </w:rPr>
              <w:t>103.0</w:t>
            </w:r>
          </w:p>
        </w:tc>
      </w:tr>
      <w:tr w:rsidR="007F4791" w:rsidRPr="00A25F2C" w14:paraId="0F007186" w14:textId="77777777" w:rsidTr="00F13D2F">
        <w:tc>
          <w:tcPr>
            <w:tcW w:w="2151" w:type="pct"/>
          </w:tcPr>
          <w:p w14:paraId="77669FBE" w14:textId="77777777" w:rsidR="007F4791" w:rsidRPr="00A25F2C" w:rsidRDefault="007F4791" w:rsidP="004E1FA1">
            <w:pPr>
              <w:pStyle w:val="TableBodyText"/>
            </w:pPr>
            <w:r w:rsidRPr="00A25F2C">
              <w:rPr>
                <w:b/>
              </w:rPr>
              <w:t>Net Cash Movement</w:t>
            </w:r>
          </w:p>
        </w:tc>
        <w:tc>
          <w:tcPr>
            <w:tcW w:w="673" w:type="pct"/>
          </w:tcPr>
          <w:p w14:paraId="370B4179" w14:textId="77777777" w:rsidR="007F4791" w:rsidRPr="00A25F2C" w:rsidRDefault="007F4791" w:rsidP="00F13D2F">
            <w:pPr>
              <w:pStyle w:val="TableBodyText"/>
              <w:jc w:val="right"/>
            </w:pPr>
            <w:r w:rsidRPr="00A25F2C">
              <w:rPr>
                <w:b/>
              </w:rPr>
              <w:t>0.0</w:t>
            </w:r>
          </w:p>
        </w:tc>
        <w:tc>
          <w:tcPr>
            <w:tcW w:w="555" w:type="pct"/>
          </w:tcPr>
          <w:p w14:paraId="45DB85C4" w14:textId="77777777" w:rsidR="007F4791" w:rsidRPr="00A25F2C" w:rsidRDefault="007F4791" w:rsidP="00F13D2F">
            <w:pPr>
              <w:pStyle w:val="TableBodyText"/>
              <w:jc w:val="right"/>
            </w:pPr>
            <w:r w:rsidRPr="00A25F2C">
              <w:rPr>
                <w:b/>
              </w:rPr>
              <w:t>0.0</w:t>
            </w:r>
          </w:p>
        </w:tc>
        <w:tc>
          <w:tcPr>
            <w:tcW w:w="558" w:type="pct"/>
          </w:tcPr>
          <w:p w14:paraId="11A77CA2" w14:textId="77777777" w:rsidR="007F4791" w:rsidRPr="00A25F2C" w:rsidRDefault="007F4791" w:rsidP="00F13D2F">
            <w:pPr>
              <w:pStyle w:val="TableBodyText"/>
              <w:jc w:val="right"/>
            </w:pPr>
            <w:r w:rsidRPr="00A25F2C">
              <w:rPr>
                <w:b/>
              </w:rPr>
              <w:t>0.0</w:t>
            </w:r>
          </w:p>
        </w:tc>
        <w:tc>
          <w:tcPr>
            <w:tcW w:w="558" w:type="pct"/>
          </w:tcPr>
          <w:p w14:paraId="616510D1" w14:textId="77777777" w:rsidR="007F4791" w:rsidRPr="00A25F2C" w:rsidRDefault="007F4791" w:rsidP="00F13D2F">
            <w:pPr>
              <w:pStyle w:val="TableBodyText"/>
              <w:jc w:val="right"/>
            </w:pPr>
            <w:r w:rsidRPr="00A25F2C">
              <w:rPr>
                <w:b/>
              </w:rPr>
              <w:t>0.0</w:t>
            </w:r>
          </w:p>
        </w:tc>
        <w:tc>
          <w:tcPr>
            <w:tcW w:w="505" w:type="pct"/>
          </w:tcPr>
          <w:p w14:paraId="7D430414" w14:textId="77777777" w:rsidR="007F4791" w:rsidRPr="00A25F2C" w:rsidRDefault="007F4791" w:rsidP="00F13D2F">
            <w:pPr>
              <w:pStyle w:val="TableBodyText"/>
              <w:jc w:val="right"/>
              <w:rPr>
                <w:b/>
              </w:rPr>
            </w:pPr>
            <w:r w:rsidRPr="00A25F2C">
              <w:rPr>
                <w:b/>
              </w:rPr>
              <w:t>0.0</w:t>
            </w:r>
          </w:p>
        </w:tc>
      </w:tr>
      <w:tr w:rsidR="007F4791" w:rsidRPr="00A25F2C" w14:paraId="0818DE68" w14:textId="77777777" w:rsidTr="00F13D2F">
        <w:tc>
          <w:tcPr>
            <w:tcW w:w="2151" w:type="pct"/>
          </w:tcPr>
          <w:p w14:paraId="1F0FD7B5" w14:textId="77777777" w:rsidR="007F4791" w:rsidRPr="00A25F2C" w:rsidRDefault="007F4791" w:rsidP="004E1FA1">
            <w:pPr>
              <w:pStyle w:val="TableBodyText"/>
            </w:pPr>
            <w:r w:rsidRPr="00A25F2C">
              <w:rPr>
                <w:b/>
              </w:rPr>
              <w:t>Opening Cash Balance</w:t>
            </w:r>
          </w:p>
        </w:tc>
        <w:tc>
          <w:tcPr>
            <w:tcW w:w="673" w:type="pct"/>
          </w:tcPr>
          <w:p w14:paraId="3DD2ECCE" w14:textId="77777777" w:rsidR="007F4791" w:rsidRPr="00A25F2C" w:rsidRDefault="007F4791" w:rsidP="00F13D2F">
            <w:pPr>
              <w:pStyle w:val="TableBodyText"/>
              <w:jc w:val="right"/>
            </w:pPr>
            <w:r w:rsidRPr="00A25F2C">
              <w:rPr>
                <w:b/>
              </w:rPr>
              <w:t>0.1</w:t>
            </w:r>
          </w:p>
        </w:tc>
        <w:tc>
          <w:tcPr>
            <w:tcW w:w="555" w:type="pct"/>
          </w:tcPr>
          <w:p w14:paraId="5FD38190" w14:textId="77777777" w:rsidR="007F4791" w:rsidRPr="00A25F2C" w:rsidRDefault="007F4791" w:rsidP="00F13D2F">
            <w:pPr>
              <w:pStyle w:val="TableBodyText"/>
              <w:jc w:val="right"/>
            </w:pPr>
            <w:r w:rsidRPr="00A25F2C">
              <w:rPr>
                <w:b/>
              </w:rPr>
              <w:t>0.1</w:t>
            </w:r>
          </w:p>
        </w:tc>
        <w:tc>
          <w:tcPr>
            <w:tcW w:w="558" w:type="pct"/>
          </w:tcPr>
          <w:p w14:paraId="501E4C46" w14:textId="77777777" w:rsidR="007F4791" w:rsidRPr="00A25F2C" w:rsidRDefault="007F4791" w:rsidP="00F13D2F">
            <w:pPr>
              <w:pStyle w:val="TableBodyText"/>
              <w:jc w:val="right"/>
            </w:pPr>
            <w:r w:rsidRPr="00A25F2C">
              <w:rPr>
                <w:b/>
              </w:rPr>
              <w:t>0.1</w:t>
            </w:r>
          </w:p>
        </w:tc>
        <w:tc>
          <w:tcPr>
            <w:tcW w:w="558" w:type="pct"/>
          </w:tcPr>
          <w:p w14:paraId="356106E7" w14:textId="77777777" w:rsidR="007F4791" w:rsidRPr="00A25F2C" w:rsidRDefault="007F4791" w:rsidP="00F13D2F">
            <w:pPr>
              <w:pStyle w:val="TableBodyText"/>
              <w:jc w:val="right"/>
            </w:pPr>
            <w:r w:rsidRPr="00A25F2C">
              <w:rPr>
                <w:b/>
              </w:rPr>
              <w:t>0.1</w:t>
            </w:r>
          </w:p>
        </w:tc>
        <w:tc>
          <w:tcPr>
            <w:tcW w:w="505" w:type="pct"/>
          </w:tcPr>
          <w:p w14:paraId="66528DDA" w14:textId="77777777" w:rsidR="007F4791" w:rsidRPr="00A25F2C" w:rsidRDefault="007F4791" w:rsidP="00F13D2F">
            <w:pPr>
              <w:pStyle w:val="TableBodyText"/>
              <w:jc w:val="right"/>
              <w:rPr>
                <w:b/>
              </w:rPr>
            </w:pPr>
            <w:r w:rsidRPr="00A25F2C">
              <w:rPr>
                <w:b/>
              </w:rPr>
              <w:t>0.1</w:t>
            </w:r>
          </w:p>
        </w:tc>
      </w:tr>
      <w:tr w:rsidR="007F4791" w:rsidRPr="00A25F2C" w14:paraId="0504363C" w14:textId="77777777" w:rsidTr="00F13D2F">
        <w:tc>
          <w:tcPr>
            <w:tcW w:w="2151" w:type="pct"/>
          </w:tcPr>
          <w:p w14:paraId="3D18F913" w14:textId="77777777" w:rsidR="007F4791" w:rsidRPr="00A25F2C" w:rsidRDefault="007F4791" w:rsidP="004E1FA1">
            <w:pPr>
              <w:pStyle w:val="TableBodyText"/>
            </w:pPr>
            <w:r w:rsidRPr="00A25F2C">
              <w:rPr>
                <w:b/>
              </w:rPr>
              <w:t>Closing Cash Balance</w:t>
            </w:r>
          </w:p>
        </w:tc>
        <w:tc>
          <w:tcPr>
            <w:tcW w:w="673" w:type="pct"/>
          </w:tcPr>
          <w:p w14:paraId="021817B6" w14:textId="77777777" w:rsidR="007F4791" w:rsidRPr="00A25F2C" w:rsidRDefault="007F4791" w:rsidP="00F13D2F">
            <w:pPr>
              <w:pStyle w:val="TableBodyText"/>
              <w:jc w:val="right"/>
            </w:pPr>
            <w:r w:rsidRPr="00A25F2C">
              <w:rPr>
                <w:b/>
              </w:rPr>
              <w:t>0.1</w:t>
            </w:r>
          </w:p>
        </w:tc>
        <w:tc>
          <w:tcPr>
            <w:tcW w:w="555" w:type="pct"/>
          </w:tcPr>
          <w:p w14:paraId="7152515E" w14:textId="77777777" w:rsidR="007F4791" w:rsidRPr="00A25F2C" w:rsidRDefault="007F4791" w:rsidP="00F13D2F">
            <w:pPr>
              <w:pStyle w:val="TableBodyText"/>
              <w:jc w:val="right"/>
            </w:pPr>
            <w:r w:rsidRPr="00A25F2C">
              <w:rPr>
                <w:b/>
              </w:rPr>
              <w:t>0.1</w:t>
            </w:r>
          </w:p>
        </w:tc>
        <w:tc>
          <w:tcPr>
            <w:tcW w:w="558" w:type="pct"/>
          </w:tcPr>
          <w:p w14:paraId="7E088273" w14:textId="77777777" w:rsidR="007F4791" w:rsidRPr="00A25F2C" w:rsidRDefault="007F4791" w:rsidP="00F13D2F">
            <w:pPr>
              <w:pStyle w:val="TableBodyText"/>
              <w:jc w:val="right"/>
            </w:pPr>
            <w:r w:rsidRPr="00A25F2C">
              <w:rPr>
                <w:b/>
              </w:rPr>
              <w:t>0.1</w:t>
            </w:r>
          </w:p>
        </w:tc>
        <w:tc>
          <w:tcPr>
            <w:tcW w:w="558" w:type="pct"/>
          </w:tcPr>
          <w:p w14:paraId="27817DED" w14:textId="77777777" w:rsidR="007F4791" w:rsidRPr="00A25F2C" w:rsidRDefault="007F4791" w:rsidP="00F13D2F">
            <w:pPr>
              <w:pStyle w:val="TableBodyText"/>
              <w:jc w:val="right"/>
            </w:pPr>
            <w:r w:rsidRPr="00A25F2C">
              <w:rPr>
                <w:b/>
              </w:rPr>
              <w:t>0.1</w:t>
            </w:r>
          </w:p>
        </w:tc>
        <w:tc>
          <w:tcPr>
            <w:tcW w:w="505" w:type="pct"/>
          </w:tcPr>
          <w:p w14:paraId="2DC8A239" w14:textId="77777777" w:rsidR="007F4791" w:rsidRPr="00A25F2C" w:rsidRDefault="007F4791" w:rsidP="00F13D2F">
            <w:pPr>
              <w:pStyle w:val="TableBodyText"/>
              <w:jc w:val="right"/>
              <w:rPr>
                <w:b/>
              </w:rPr>
            </w:pPr>
            <w:r w:rsidRPr="00A25F2C">
              <w:rPr>
                <w:b/>
              </w:rPr>
              <w:t>0.1</w:t>
            </w:r>
          </w:p>
        </w:tc>
      </w:tr>
    </w:tbl>
    <w:p w14:paraId="11969144" w14:textId="542A7AF8" w:rsidR="00143D6B" w:rsidRDefault="00E04EDF" w:rsidP="007F4791">
      <w:pPr>
        <w:pStyle w:val="BodyText"/>
      </w:pPr>
      <w:bookmarkStart w:id="73" w:name="NoteE14"/>
      <w:r>
        <w:t xml:space="preserve">Note: </w:t>
      </w:r>
      <w:r w:rsidR="007F4791" w:rsidRPr="00A25F2C">
        <w:t>Free Cash Flow = Cash Flow from Operating Activities less Payments for Capital Projects All tables subject to rounding</w:t>
      </w:r>
    </w:p>
    <w:bookmarkEnd w:id="73"/>
    <w:p w14:paraId="6F6D0DD3" w14:textId="41A2EDFD" w:rsidR="007F4791" w:rsidRPr="00A25F2C" w:rsidRDefault="0086694E" w:rsidP="0086694E">
      <w:pPr>
        <w:pStyle w:val="Caption"/>
      </w:pPr>
      <w:r w:rsidRPr="0086694E">
        <w:t>Table E15 – Distributions to government (cash basis)</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71C12079"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45B8511C" w14:textId="39F57AC4" w:rsidR="007F4791" w:rsidRPr="00A25F2C" w:rsidRDefault="007F4791" w:rsidP="004E1FA1">
            <w:pPr>
              <w:pStyle w:val="TableBodyText"/>
            </w:pPr>
            <w:r w:rsidRPr="00A25F2C">
              <w:t xml:space="preserve">Nominal </w:t>
            </w:r>
            <w:r w:rsidR="00E65500">
              <w:t>$ million</w:t>
            </w:r>
          </w:p>
        </w:tc>
        <w:tc>
          <w:tcPr>
            <w:tcW w:w="588" w:type="pct"/>
          </w:tcPr>
          <w:p w14:paraId="4B0C89F2" w14:textId="77777777" w:rsidR="007F4791" w:rsidRPr="00A25F2C" w:rsidRDefault="007F4791" w:rsidP="00F13D2F">
            <w:pPr>
              <w:pStyle w:val="TableBodyText"/>
              <w:jc w:val="right"/>
            </w:pPr>
            <w:r w:rsidRPr="00A25F2C">
              <w:t>2022-23</w:t>
            </w:r>
          </w:p>
          <w:p w14:paraId="3B14DC89" w14:textId="77777777" w:rsidR="007F4791" w:rsidRPr="00A25F2C" w:rsidRDefault="007F4791" w:rsidP="00F13D2F">
            <w:pPr>
              <w:pStyle w:val="TableBodyText"/>
              <w:jc w:val="right"/>
            </w:pPr>
            <w:r w:rsidRPr="00A25F2C">
              <w:t>FCT</w:t>
            </w:r>
          </w:p>
        </w:tc>
        <w:tc>
          <w:tcPr>
            <w:tcW w:w="609" w:type="pct"/>
          </w:tcPr>
          <w:p w14:paraId="2A5D4285" w14:textId="77777777" w:rsidR="007F4791" w:rsidRPr="00A25F2C" w:rsidRDefault="007F4791" w:rsidP="00F13D2F">
            <w:pPr>
              <w:pStyle w:val="TableBodyText"/>
              <w:jc w:val="right"/>
            </w:pPr>
            <w:r w:rsidRPr="00A25F2C">
              <w:t>2022-23</w:t>
            </w:r>
          </w:p>
          <w:p w14:paraId="56CDBE7C" w14:textId="77777777" w:rsidR="007F4791" w:rsidRPr="00A25F2C" w:rsidRDefault="007F4791" w:rsidP="00F13D2F">
            <w:pPr>
              <w:pStyle w:val="TableBodyText"/>
              <w:jc w:val="right"/>
            </w:pPr>
            <w:r w:rsidRPr="00A25F2C">
              <w:t>PLAN</w:t>
            </w:r>
          </w:p>
        </w:tc>
        <w:tc>
          <w:tcPr>
            <w:tcW w:w="472" w:type="pct"/>
          </w:tcPr>
          <w:p w14:paraId="2E11708B" w14:textId="77777777" w:rsidR="007F4791" w:rsidRPr="00A25F2C" w:rsidRDefault="007F4791" w:rsidP="00F13D2F">
            <w:pPr>
              <w:pStyle w:val="TableBodyText"/>
              <w:jc w:val="right"/>
            </w:pPr>
            <w:r w:rsidRPr="00A25F2C">
              <w:t>2023-24</w:t>
            </w:r>
          </w:p>
        </w:tc>
        <w:tc>
          <w:tcPr>
            <w:tcW w:w="471" w:type="pct"/>
          </w:tcPr>
          <w:p w14:paraId="6E1741A3" w14:textId="77777777" w:rsidR="007F4791" w:rsidRPr="00A25F2C" w:rsidRDefault="007F4791" w:rsidP="00F13D2F">
            <w:pPr>
              <w:pStyle w:val="TableBodyText"/>
              <w:jc w:val="right"/>
            </w:pPr>
            <w:r w:rsidRPr="00A25F2C">
              <w:t>2024-25</w:t>
            </w:r>
          </w:p>
        </w:tc>
        <w:tc>
          <w:tcPr>
            <w:tcW w:w="472" w:type="pct"/>
          </w:tcPr>
          <w:p w14:paraId="0D3DEC73" w14:textId="77777777" w:rsidR="007F4791" w:rsidRPr="00A25F2C" w:rsidRDefault="007F4791" w:rsidP="00F13D2F">
            <w:pPr>
              <w:pStyle w:val="TableBodyText"/>
              <w:jc w:val="right"/>
            </w:pPr>
            <w:r w:rsidRPr="00A25F2C">
              <w:t>2025-26</w:t>
            </w:r>
          </w:p>
        </w:tc>
        <w:tc>
          <w:tcPr>
            <w:tcW w:w="470" w:type="pct"/>
          </w:tcPr>
          <w:p w14:paraId="1BA4B05A" w14:textId="77777777" w:rsidR="007F4791" w:rsidRPr="00A25F2C" w:rsidRDefault="007F4791" w:rsidP="00F13D2F">
            <w:pPr>
              <w:pStyle w:val="TableBodyText"/>
              <w:jc w:val="right"/>
            </w:pPr>
            <w:r w:rsidRPr="00A25F2C">
              <w:t>2026-27</w:t>
            </w:r>
          </w:p>
        </w:tc>
        <w:tc>
          <w:tcPr>
            <w:tcW w:w="447" w:type="pct"/>
          </w:tcPr>
          <w:p w14:paraId="180E257E" w14:textId="77777777" w:rsidR="007F4791" w:rsidRPr="00A25F2C" w:rsidRDefault="007F4791" w:rsidP="00F13D2F">
            <w:pPr>
              <w:pStyle w:val="TableBodyText"/>
              <w:jc w:val="right"/>
            </w:pPr>
            <w:r w:rsidRPr="00A25F2C">
              <w:t>2027-28</w:t>
            </w:r>
          </w:p>
        </w:tc>
      </w:tr>
      <w:tr w:rsidR="007F4791" w:rsidRPr="00A25F2C" w14:paraId="1055F053" w14:textId="77777777" w:rsidTr="00F13D2F">
        <w:tc>
          <w:tcPr>
            <w:tcW w:w="1470" w:type="pct"/>
          </w:tcPr>
          <w:p w14:paraId="1907A9A9" w14:textId="77777777" w:rsidR="007F4791" w:rsidRPr="00A25F2C" w:rsidRDefault="007F4791" w:rsidP="004E1FA1">
            <w:pPr>
              <w:pStyle w:val="TableBodyText"/>
            </w:pPr>
            <w:r w:rsidRPr="00A25F2C">
              <w:t>Income Tax Paid</w:t>
            </w:r>
          </w:p>
        </w:tc>
        <w:tc>
          <w:tcPr>
            <w:tcW w:w="588" w:type="pct"/>
          </w:tcPr>
          <w:p w14:paraId="56047ADB" w14:textId="77777777" w:rsidR="007F4791" w:rsidRPr="00A25F2C" w:rsidRDefault="007F4791" w:rsidP="00F13D2F">
            <w:pPr>
              <w:pStyle w:val="TableBodyText"/>
              <w:jc w:val="right"/>
            </w:pPr>
            <w:r w:rsidRPr="00A25F2C">
              <w:t>110.7</w:t>
            </w:r>
          </w:p>
        </w:tc>
        <w:tc>
          <w:tcPr>
            <w:tcW w:w="609" w:type="pct"/>
          </w:tcPr>
          <w:p w14:paraId="04EA01D3" w14:textId="77777777" w:rsidR="007F4791" w:rsidRPr="00A25F2C" w:rsidRDefault="007F4791" w:rsidP="00F13D2F">
            <w:pPr>
              <w:pStyle w:val="TableBodyText"/>
              <w:jc w:val="right"/>
            </w:pPr>
            <w:r w:rsidRPr="00A25F2C">
              <w:t>102.1</w:t>
            </w:r>
          </w:p>
        </w:tc>
        <w:tc>
          <w:tcPr>
            <w:tcW w:w="472" w:type="pct"/>
          </w:tcPr>
          <w:p w14:paraId="20549C19" w14:textId="77777777" w:rsidR="007F4791" w:rsidRPr="00A25F2C" w:rsidRDefault="007F4791" w:rsidP="00F13D2F">
            <w:pPr>
              <w:pStyle w:val="TableBodyText"/>
              <w:jc w:val="right"/>
            </w:pPr>
            <w:r w:rsidRPr="00A25F2C">
              <w:t>120.8</w:t>
            </w:r>
          </w:p>
        </w:tc>
        <w:tc>
          <w:tcPr>
            <w:tcW w:w="471" w:type="pct"/>
          </w:tcPr>
          <w:p w14:paraId="68F53782" w14:textId="77777777" w:rsidR="007F4791" w:rsidRPr="00A25F2C" w:rsidRDefault="007F4791" w:rsidP="00F13D2F">
            <w:pPr>
              <w:pStyle w:val="TableBodyText"/>
              <w:jc w:val="right"/>
            </w:pPr>
            <w:r w:rsidRPr="00A25F2C">
              <w:t>96.3</w:t>
            </w:r>
          </w:p>
        </w:tc>
        <w:tc>
          <w:tcPr>
            <w:tcW w:w="472" w:type="pct"/>
          </w:tcPr>
          <w:p w14:paraId="225F5A8F" w14:textId="77777777" w:rsidR="007F4791" w:rsidRPr="00A25F2C" w:rsidRDefault="007F4791" w:rsidP="00F13D2F">
            <w:pPr>
              <w:pStyle w:val="TableBodyText"/>
              <w:jc w:val="right"/>
            </w:pPr>
            <w:r w:rsidRPr="00A25F2C">
              <w:t>109.8</w:t>
            </w:r>
          </w:p>
        </w:tc>
        <w:tc>
          <w:tcPr>
            <w:tcW w:w="470" w:type="pct"/>
          </w:tcPr>
          <w:p w14:paraId="3F21DBBE" w14:textId="77777777" w:rsidR="007F4791" w:rsidRPr="00A25F2C" w:rsidRDefault="007F4791" w:rsidP="00F13D2F">
            <w:pPr>
              <w:pStyle w:val="TableBodyText"/>
              <w:jc w:val="right"/>
            </w:pPr>
            <w:r w:rsidRPr="00A25F2C">
              <w:t>101.1</w:t>
            </w:r>
          </w:p>
        </w:tc>
        <w:tc>
          <w:tcPr>
            <w:tcW w:w="447" w:type="pct"/>
          </w:tcPr>
          <w:p w14:paraId="10F7DFEB" w14:textId="77777777" w:rsidR="007F4791" w:rsidRPr="00A25F2C" w:rsidRDefault="007F4791" w:rsidP="00F13D2F">
            <w:pPr>
              <w:pStyle w:val="TableBodyText"/>
              <w:jc w:val="right"/>
            </w:pPr>
            <w:r w:rsidRPr="00A25F2C">
              <w:t>74.1</w:t>
            </w:r>
          </w:p>
        </w:tc>
      </w:tr>
      <w:tr w:rsidR="007F4791" w:rsidRPr="00A25F2C" w14:paraId="323AA8D8" w14:textId="77777777" w:rsidTr="00F13D2F">
        <w:tc>
          <w:tcPr>
            <w:tcW w:w="1470" w:type="pct"/>
          </w:tcPr>
          <w:p w14:paraId="4BF14B3C" w14:textId="77777777" w:rsidR="007F4791" w:rsidRPr="00A25F2C" w:rsidRDefault="007F4791" w:rsidP="004E1FA1">
            <w:pPr>
              <w:pStyle w:val="TableBodyText"/>
            </w:pPr>
            <w:r w:rsidRPr="00A25F2C">
              <w:t>Dividend Paid</w:t>
            </w:r>
          </w:p>
        </w:tc>
        <w:tc>
          <w:tcPr>
            <w:tcW w:w="588" w:type="pct"/>
          </w:tcPr>
          <w:p w14:paraId="02E027A6" w14:textId="77777777" w:rsidR="007F4791" w:rsidRPr="00A25F2C" w:rsidRDefault="007F4791" w:rsidP="00F13D2F">
            <w:pPr>
              <w:pStyle w:val="TableBodyText"/>
              <w:jc w:val="right"/>
            </w:pPr>
            <w:r w:rsidRPr="00A25F2C">
              <w:t>12.3</w:t>
            </w:r>
          </w:p>
        </w:tc>
        <w:tc>
          <w:tcPr>
            <w:tcW w:w="609" w:type="pct"/>
          </w:tcPr>
          <w:p w14:paraId="6C5DBF87" w14:textId="579D6BF7" w:rsidR="007F4791" w:rsidRPr="00A25F2C" w:rsidRDefault="00995D31" w:rsidP="00F13D2F">
            <w:pPr>
              <w:pStyle w:val="TableBodyText"/>
              <w:jc w:val="right"/>
            </w:pPr>
            <w:r>
              <w:t>N/A</w:t>
            </w:r>
          </w:p>
        </w:tc>
        <w:tc>
          <w:tcPr>
            <w:tcW w:w="472" w:type="pct"/>
          </w:tcPr>
          <w:p w14:paraId="63898F09" w14:textId="77777777" w:rsidR="007F4791" w:rsidRPr="00A25F2C" w:rsidRDefault="007F4791" w:rsidP="00F13D2F">
            <w:pPr>
              <w:pStyle w:val="TableBodyText"/>
              <w:jc w:val="right"/>
            </w:pPr>
            <w:r w:rsidRPr="00A25F2C">
              <w:t>7.3</w:t>
            </w:r>
          </w:p>
        </w:tc>
        <w:tc>
          <w:tcPr>
            <w:tcW w:w="471" w:type="pct"/>
          </w:tcPr>
          <w:p w14:paraId="2F4139E4" w14:textId="77777777" w:rsidR="007F4791" w:rsidRPr="00A25F2C" w:rsidRDefault="007F4791" w:rsidP="00F13D2F">
            <w:pPr>
              <w:pStyle w:val="TableBodyText"/>
              <w:jc w:val="right"/>
            </w:pPr>
            <w:r w:rsidRPr="00A25F2C">
              <w:t>11.8</w:t>
            </w:r>
          </w:p>
        </w:tc>
        <w:tc>
          <w:tcPr>
            <w:tcW w:w="472" w:type="pct"/>
          </w:tcPr>
          <w:p w14:paraId="7456AFB3" w14:textId="77777777" w:rsidR="007F4791" w:rsidRPr="00A25F2C" w:rsidRDefault="007F4791" w:rsidP="00F13D2F">
            <w:pPr>
              <w:pStyle w:val="TableBodyText"/>
              <w:jc w:val="right"/>
            </w:pPr>
            <w:r w:rsidRPr="00A25F2C">
              <w:t>18.3</w:t>
            </w:r>
          </w:p>
        </w:tc>
        <w:tc>
          <w:tcPr>
            <w:tcW w:w="470" w:type="pct"/>
          </w:tcPr>
          <w:p w14:paraId="3C9F57FE" w14:textId="77777777" w:rsidR="007F4791" w:rsidRPr="00A25F2C" w:rsidRDefault="007F4791" w:rsidP="00F13D2F">
            <w:pPr>
              <w:pStyle w:val="TableBodyText"/>
              <w:jc w:val="right"/>
            </w:pPr>
            <w:r w:rsidRPr="00A25F2C">
              <w:t>34.7</w:t>
            </w:r>
          </w:p>
        </w:tc>
        <w:tc>
          <w:tcPr>
            <w:tcW w:w="447" w:type="pct"/>
          </w:tcPr>
          <w:p w14:paraId="47FF8FC1" w14:textId="77777777" w:rsidR="007F4791" w:rsidRPr="00A25F2C" w:rsidRDefault="007F4791" w:rsidP="00F13D2F">
            <w:pPr>
              <w:pStyle w:val="TableBodyText"/>
              <w:jc w:val="right"/>
            </w:pPr>
            <w:r w:rsidRPr="00A25F2C">
              <w:t>30.9</w:t>
            </w:r>
          </w:p>
        </w:tc>
      </w:tr>
      <w:tr w:rsidR="007F4791" w:rsidRPr="00A25F2C" w14:paraId="7281A979" w14:textId="77777777" w:rsidTr="00F13D2F">
        <w:tc>
          <w:tcPr>
            <w:tcW w:w="1470" w:type="pct"/>
          </w:tcPr>
          <w:p w14:paraId="0F6C361F" w14:textId="77777777" w:rsidR="007F4791" w:rsidRPr="00A25F2C" w:rsidRDefault="007F4791" w:rsidP="004E1FA1">
            <w:pPr>
              <w:pStyle w:val="TableBodyText"/>
            </w:pPr>
            <w:r w:rsidRPr="00A25F2C">
              <w:rPr>
                <w:b/>
              </w:rPr>
              <w:t>Sub Total</w:t>
            </w:r>
          </w:p>
        </w:tc>
        <w:tc>
          <w:tcPr>
            <w:tcW w:w="588" w:type="pct"/>
          </w:tcPr>
          <w:p w14:paraId="4564F9F6" w14:textId="77777777" w:rsidR="007F4791" w:rsidRPr="00A25F2C" w:rsidRDefault="007F4791" w:rsidP="00F13D2F">
            <w:pPr>
              <w:pStyle w:val="TableBodyText"/>
              <w:jc w:val="right"/>
            </w:pPr>
            <w:r w:rsidRPr="00A25F2C">
              <w:rPr>
                <w:b/>
              </w:rPr>
              <w:t>123.0</w:t>
            </w:r>
          </w:p>
        </w:tc>
        <w:tc>
          <w:tcPr>
            <w:tcW w:w="609" w:type="pct"/>
          </w:tcPr>
          <w:p w14:paraId="4DD61CC5" w14:textId="77777777" w:rsidR="007F4791" w:rsidRPr="00A25F2C" w:rsidRDefault="007F4791" w:rsidP="00F13D2F">
            <w:pPr>
              <w:pStyle w:val="TableBodyText"/>
              <w:jc w:val="right"/>
            </w:pPr>
            <w:r w:rsidRPr="00A25F2C">
              <w:rPr>
                <w:b/>
              </w:rPr>
              <w:t>102.1</w:t>
            </w:r>
          </w:p>
        </w:tc>
        <w:tc>
          <w:tcPr>
            <w:tcW w:w="472" w:type="pct"/>
          </w:tcPr>
          <w:p w14:paraId="2A1A9992" w14:textId="77777777" w:rsidR="007F4791" w:rsidRPr="00A25F2C" w:rsidRDefault="007F4791" w:rsidP="00F13D2F">
            <w:pPr>
              <w:pStyle w:val="TableBodyText"/>
              <w:jc w:val="right"/>
            </w:pPr>
            <w:r w:rsidRPr="00A25F2C">
              <w:rPr>
                <w:b/>
              </w:rPr>
              <w:t>128.1</w:t>
            </w:r>
          </w:p>
        </w:tc>
        <w:tc>
          <w:tcPr>
            <w:tcW w:w="471" w:type="pct"/>
          </w:tcPr>
          <w:p w14:paraId="59822E02" w14:textId="77777777" w:rsidR="007F4791" w:rsidRPr="00A25F2C" w:rsidRDefault="007F4791" w:rsidP="00F13D2F">
            <w:pPr>
              <w:pStyle w:val="TableBodyText"/>
              <w:jc w:val="right"/>
            </w:pPr>
            <w:r w:rsidRPr="00A25F2C">
              <w:rPr>
                <w:b/>
              </w:rPr>
              <w:t>108.1</w:t>
            </w:r>
          </w:p>
        </w:tc>
        <w:tc>
          <w:tcPr>
            <w:tcW w:w="472" w:type="pct"/>
          </w:tcPr>
          <w:p w14:paraId="722BF6DD" w14:textId="77777777" w:rsidR="007F4791" w:rsidRPr="00A25F2C" w:rsidRDefault="007F4791" w:rsidP="00F13D2F">
            <w:pPr>
              <w:pStyle w:val="TableBodyText"/>
              <w:jc w:val="right"/>
            </w:pPr>
            <w:r w:rsidRPr="00A25F2C">
              <w:rPr>
                <w:b/>
              </w:rPr>
              <w:t>128.1</w:t>
            </w:r>
          </w:p>
        </w:tc>
        <w:tc>
          <w:tcPr>
            <w:tcW w:w="470" w:type="pct"/>
          </w:tcPr>
          <w:p w14:paraId="1BAA6AF5" w14:textId="77777777" w:rsidR="007F4791" w:rsidRPr="00A25F2C" w:rsidRDefault="007F4791" w:rsidP="00F13D2F">
            <w:pPr>
              <w:pStyle w:val="TableBodyText"/>
              <w:jc w:val="right"/>
            </w:pPr>
            <w:r w:rsidRPr="00A25F2C">
              <w:rPr>
                <w:b/>
              </w:rPr>
              <w:t>135.8</w:t>
            </w:r>
          </w:p>
        </w:tc>
        <w:tc>
          <w:tcPr>
            <w:tcW w:w="447" w:type="pct"/>
          </w:tcPr>
          <w:p w14:paraId="73D5F76B" w14:textId="77777777" w:rsidR="007F4791" w:rsidRPr="00A25F2C" w:rsidRDefault="007F4791" w:rsidP="00F13D2F">
            <w:pPr>
              <w:pStyle w:val="TableBodyText"/>
              <w:jc w:val="right"/>
              <w:rPr>
                <w:b/>
              </w:rPr>
            </w:pPr>
            <w:r w:rsidRPr="00A25F2C">
              <w:rPr>
                <w:b/>
              </w:rPr>
              <w:t>105.0</w:t>
            </w:r>
          </w:p>
        </w:tc>
      </w:tr>
      <w:tr w:rsidR="007F4791" w:rsidRPr="00A25F2C" w14:paraId="664F3A42" w14:textId="77777777" w:rsidTr="00F13D2F">
        <w:tc>
          <w:tcPr>
            <w:tcW w:w="1470" w:type="pct"/>
          </w:tcPr>
          <w:p w14:paraId="734F6C7B" w14:textId="77777777" w:rsidR="007F4791" w:rsidRPr="00A25F2C" w:rsidRDefault="007F4791" w:rsidP="004E1FA1">
            <w:pPr>
              <w:pStyle w:val="TableBodyText"/>
            </w:pPr>
            <w:r w:rsidRPr="00A25F2C">
              <w:t>Local Government Rate Equivalent</w:t>
            </w:r>
          </w:p>
        </w:tc>
        <w:tc>
          <w:tcPr>
            <w:tcW w:w="588" w:type="pct"/>
          </w:tcPr>
          <w:p w14:paraId="4901AFAE" w14:textId="77777777" w:rsidR="007F4791" w:rsidRPr="00A25F2C" w:rsidRDefault="007F4791" w:rsidP="00F13D2F">
            <w:pPr>
              <w:pStyle w:val="TableBodyText"/>
              <w:jc w:val="right"/>
            </w:pPr>
            <w:r w:rsidRPr="00A25F2C">
              <w:t>4.0</w:t>
            </w:r>
          </w:p>
        </w:tc>
        <w:tc>
          <w:tcPr>
            <w:tcW w:w="609" w:type="pct"/>
          </w:tcPr>
          <w:p w14:paraId="60BD8FEF" w14:textId="77777777" w:rsidR="007F4791" w:rsidRPr="00A25F2C" w:rsidRDefault="007F4791" w:rsidP="00F13D2F">
            <w:pPr>
              <w:pStyle w:val="TableBodyText"/>
              <w:jc w:val="right"/>
            </w:pPr>
            <w:r w:rsidRPr="00A25F2C">
              <w:t>3.8</w:t>
            </w:r>
          </w:p>
        </w:tc>
        <w:tc>
          <w:tcPr>
            <w:tcW w:w="472" w:type="pct"/>
          </w:tcPr>
          <w:p w14:paraId="6347A8FA" w14:textId="77777777" w:rsidR="007F4791" w:rsidRPr="00A25F2C" w:rsidRDefault="007F4791" w:rsidP="00F13D2F">
            <w:pPr>
              <w:pStyle w:val="TableBodyText"/>
              <w:jc w:val="right"/>
            </w:pPr>
            <w:r w:rsidRPr="00A25F2C">
              <w:t>3.8</w:t>
            </w:r>
          </w:p>
        </w:tc>
        <w:tc>
          <w:tcPr>
            <w:tcW w:w="471" w:type="pct"/>
          </w:tcPr>
          <w:p w14:paraId="4F2A60E7" w14:textId="77777777" w:rsidR="007F4791" w:rsidRPr="00A25F2C" w:rsidRDefault="007F4791" w:rsidP="00F13D2F">
            <w:pPr>
              <w:pStyle w:val="TableBodyText"/>
              <w:jc w:val="right"/>
            </w:pPr>
            <w:r w:rsidRPr="00A25F2C">
              <w:t>3.9</w:t>
            </w:r>
          </w:p>
        </w:tc>
        <w:tc>
          <w:tcPr>
            <w:tcW w:w="472" w:type="pct"/>
          </w:tcPr>
          <w:p w14:paraId="27D44ED8" w14:textId="77777777" w:rsidR="007F4791" w:rsidRPr="00A25F2C" w:rsidRDefault="007F4791" w:rsidP="00F13D2F">
            <w:pPr>
              <w:pStyle w:val="TableBodyText"/>
              <w:jc w:val="right"/>
            </w:pPr>
            <w:r w:rsidRPr="00A25F2C">
              <w:t>3.9</w:t>
            </w:r>
          </w:p>
        </w:tc>
        <w:tc>
          <w:tcPr>
            <w:tcW w:w="470" w:type="pct"/>
          </w:tcPr>
          <w:p w14:paraId="16E16E8A" w14:textId="77777777" w:rsidR="007F4791" w:rsidRPr="00A25F2C" w:rsidRDefault="007F4791" w:rsidP="00F13D2F">
            <w:pPr>
              <w:pStyle w:val="TableBodyText"/>
              <w:jc w:val="right"/>
            </w:pPr>
            <w:r w:rsidRPr="00A25F2C">
              <w:t>3.9</w:t>
            </w:r>
          </w:p>
        </w:tc>
        <w:tc>
          <w:tcPr>
            <w:tcW w:w="447" w:type="pct"/>
          </w:tcPr>
          <w:p w14:paraId="615A7534" w14:textId="77777777" w:rsidR="007F4791" w:rsidRPr="00A25F2C" w:rsidRDefault="007F4791" w:rsidP="00F13D2F">
            <w:pPr>
              <w:pStyle w:val="TableBodyText"/>
              <w:jc w:val="right"/>
            </w:pPr>
            <w:r w:rsidRPr="00A25F2C">
              <w:t>4.0</w:t>
            </w:r>
          </w:p>
        </w:tc>
      </w:tr>
      <w:tr w:rsidR="007F4791" w:rsidRPr="00A25F2C" w14:paraId="21812910" w14:textId="77777777" w:rsidTr="00F13D2F">
        <w:tc>
          <w:tcPr>
            <w:tcW w:w="1470" w:type="pct"/>
          </w:tcPr>
          <w:p w14:paraId="087AE52D" w14:textId="77777777" w:rsidR="007F4791" w:rsidRPr="00A25F2C" w:rsidRDefault="007F4791" w:rsidP="004E1FA1">
            <w:pPr>
              <w:pStyle w:val="TableBodyText"/>
            </w:pPr>
            <w:r w:rsidRPr="00A25F2C">
              <w:t>Financial Accommodation Levy</w:t>
            </w:r>
          </w:p>
        </w:tc>
        <w:tc>
          <w:tcPr>
            <w:tcW w:w="588" w:type="pct"/>
          </w:tcPr>
          <w:p w14:paraId="6DB691BD" w14:textId="77777777" w:rsidR="007F4791" w:rsidRPr="00A25F2C" w:rsidRDefault="007F4791" w:rsidP="00F13D2F">
            <w:pPr>
              <w:pStyle w:val="TableBodyText"/>
              <w:jc w:val="right"/>
            </w:pPr>
            <w:r w:rsidRPr="00A25F2C">
              <w:t>32.3</w:t>
            </w:r>
          </w:p>
        </w:tc>
        <w:tc>
          <w:tcPr>
            <w:tcW w:w="609" w:type="pct"/>
          </w:tcPr>
          <w:p w14:paraId="1001E7D0" w14:textId="77777777" w:rsidR="007F4791" w:rsidRPr="00A25F2C" w:rsidRDefault="007F4791" w:rsidP="00F13D2F">
            <w:pPr>
              <w:pStyle w:val="TableBodyText"/>
              <w:jc w:val="right"/>
            </w:pPr>
            <w:r w:rsidRPr="00A25F2C">
              <w:t>34.5</w:t>
            </w:r>
          </w:p>
        </w:tc>
        <w:tc>
          <w:tcPr>
            <w:tcW w:w="472" w:type="pct"/>
          </w:tcPr>
          <w:p w14:paraId="3426DC9F" w14:textId="77777777" w:rsidR="007F4791" w:rsidRPr="00A25F2C" w:rsidRDefault="007F4791" w:rsidP="00F13D2F">
            <w:pPr>
              <w:pStyle w:val="TableBodyText"/>
              <w:jc w:val="right"/>
            </w:pPr>
            <w:r w:rsidRPr="00A25F2C">
              <w:t>35.3</w:t>
            </w:r>
          </w:p>
        </w:tc>
        <w:tc>
          <w:tcPr>
            <w:tcW w:w="471" w:type="pct"/>
          </w:tcPr>
          <w:p w14:paraId="51EA933B" w14:textId="77777777" w:rsidR="007F4791" w:rsidRPr="00A25F2C" w:rsidRDefault="007F4791" w:rsidP="00F13D2F">
            <w:pPr>
              <w:pStyle w:val="TableBodyText"/>
              <w:jc w:val="right"/>
            </w:pPr>
            <w:r w:rsidRPr="00A25F2C">
              <w:t>42.8</w:t>
            </w:r>
          </w:p>
        </w:tc>
        <w:tc>
          <w:tcPr>
            <w:tcW w:w="472" w:type="pct"/>
          </w:tcPr>
          <w:p w14:paraId="2F1F259C" w14:textId="77777777" w:rsidR="007F4791" w:rsidRPr="00A25F2C" w:rsidRDefault="007F4791" w:rsidP="00F13D2F">
            <w:pPr>
              <w:pStyle w:val="TableBodyText"/>
              <w:jc w:val="right"/>
            </w:pPr>
            <w:r w:rsidRPr="00A25F2C">
              <w:t>47.1</w:t>
            </w:r>
          </w:p>
        </w:tc>
        <w:tc>
          <w:tcPr>
            <w:tcW w:w="470" w:type="pct"/>
          </w:tcPr>
          <w:p w14:paraId="58F2B015" w14:textId="77777777" w:rsidR="007F4791" w:rsidRPr="00A25F2C" w:rsidRDefault="007F4791" w:rsidP="00F13D2F">
            <w:pPr>
              <w:pStyle w:val="TableBodyText"/>
              <w:jc w:val="right"/>
            </w:pPr>
            <w:r w:rsidRPr="00A25F2C">
              <w:t>53.6</w:t>
            </w:r>
          </w:p>
        </w:tc>
        <w:tc>
          <w:tcPr>
            <w:tcW w:w="447" w:type="pct"/>
          </w:tcPr>
          <w:p w14:paraId="7159EA5F" w14:textId="77777777" w:rsidR="007F4791" w:rsidRPr="00A25F2C" w:rsidRDefault="007F4791" w:rsidP="00F13D2F">
            <w:pPr>
              <w:pStyle w:val="TableBodyText"/>
              <w:jc w:val="right"/>
            </w:pPr>
            <w:r w:rsidRPr="00A25F2C">
              <w:t>63.8</w:t>
            </w:r>
          </w:p>
        </w:tc>
      </w:tr>
      <w:tr w:rsidR="007F4791" w:rsidRPr="00A25F2C" w14:paraId="35BB5586" w14:textId="77777777" w:rsidTr="00F13D2F">
        <w:tc>
          <w:tcPr>
            <w:tcW w:w="1470" w:type="pct"/>
          </w:tcPr>
          <w:p w14:paraId="731109AD" w14:textId="77777777" w:rsidR="007F4791" w:rsidRPr="00A25F2C" w:rsidRDefault="007F4791" w:rsidP="004E1FA1">
            <w:pPr>
              <w:pStyle w:val="TableBodyText"/>
            </w:pPr>
            <w:r w:rsidRPr="00A25F2C">
              <w:t>Environmental Contribution Levy</w:t>
            </w:r>
          </w:p>
        </w:tc>
        <w:tc>
          <w:tcPr>
            <w:tcW w:w="588" w:type="pct"/>
          </w:tcPr>
          <w:p w14:paraId="6FAD1AE5" w14:textId="77777777" w:rsidR="007F4791" w:rsidRPr="00A25F2C" w:rsidRDefault="007F4791" w:rsidP="00F13D2F">
            <w:pPr>
              <w:pStyle w:val="TableBodyText"/>
              <w:jc w:val="right"/>
            </w:pPr>
            <w:r w:rsidRPr="00A25F2C">
              <w:t>0.8</w:t>
            </w:r>
          </w:p>
        </w:tc>
        <w:tc>
          <w:tcPr>
            <w:tcW w:w="609" w:type="pct"/>
          </w:tcPr>
          <w:p w14:paraId="5EEDB681" w14:textId="77777777" w:rsidR="007F4791" w:rsidRPr="00A25F2C" w:rsidRDefault="007F4791" w:rsidP="00F13D2F">
            <w:pPr>
              <w:pStyle w:val="TableBodyText"/>
              <w:jc w:val="right"/>
            </w:pPr>
            <w:r w:rsidRPr="00A25F2C">
              <w:t>0.8</w:t>
            </w:r>
          </w:p>
        </w:tc>
        <w:tc>
          <w:tcPr>
            <w:tcW w:w="472" w:type="pct"/>
          </w:tcPr>
          <w:p w14:paraId="607F61AE" w14:textId="77777777" w:rsidR="007F4791" w:rsidRPr="00A25F2C" w:rsidRDefault="007F4791" w:rsidP="00F13D2F">
            <w:pPr>
              <w:pStyle w:val="TableBodyText"/>
              <w:jc w:val="right"/>
            </w:pPr>
            <w:r w:rsidRPr="00A25F2C">
              <w:t>0.8</w:t>
            </w:r>
          </w:p>
        </w:tc>
        <w:tc>
          <w:tcPr>
            <w:tcW w:w="471" w:type="pct"/>
          </w:tcPr>
          <w:p w14:paraId="11D342DB" w14:textId="77777777" w:rsidR="007F4791" w:rsidRPr="00A25F2C" w:rsidRDefault="007F4791" w:rsidP="00F13D2F">
            <w:pPr>
              <w:pStyle w:val="TableBodyText"/>
              <w:jc w:val="right"/>
            </w:pPr>
            <w:r w:rsidRPr="00A25F2C">
              <w:t>0.9</w:t>
            </w:r>
          </w:p>
        </w:tc>
        <w:tc>
          <w:tcPr>
            <w:tcW w:w="472" w:type="pct"/>
          </w:tcPr>
          <w:p w14:paraId="70B87B96" w14:textId="77777777" w:rsidR="007F4791" w:rsidRPr="00A25F2C" w:rsidRDefault="007F4791" w:rsidP="00F13D2F">
            <w:pPr>
              <w:pStyle w:val="TableBodyText"/>
              <w:jc w:val="right"/>
            </w:pPr>
            <w:r w:rsidRPr="00A25F2C">
              <w:t>0.9</w:t>
            </w:r>
          </w:p>
        </w:tc>
        <w:tc>
          <w:tcPr>
            <w:tcW w:w="470" w:type="pct"/>
          </w:tcPr>
          <w:p w14:paraId="706A13E3" w14:textId="77777777" w:rsidR="007F4791" w:rsidRPr="00A25F2C" w:rsidRDefault="007F4791" w:rsidP="00F13D2F">
            <w:pPr>
              <w:pStyle w:val="TableBodyText"/>
              <w:jc w:val="right"/>
            </w:pPr>
            <w:r w:rsidRPr="00A25F2C">
              <w:t>0.9</w:t>
            </w:r>
          </w:p>
        </w:tc>
        <w:tc>
          <w:tcPr>
            <w:tcW w:w="447" w:type="pct"/>
          </w:tcPr>
          <w:p w14:paraId="3089E8F9" w14:textId="77777777" w:rsidR="007F4791" w:rsidRPr="00A25F2C" w:rsidRDefault="007F4791" w:rsidP="00F13D2F">
            <w:pPr>
              <w:pStyle w:val="TableBodyText"/>
              <w:jc w:val="right"/>
            </w:pPr>
            <w:r w:rsidRPr="00A25F2C">
              <w:t>0.9</w:t>
            </w:r>
          </w:p>
        </w:tc>
      </w:tr>
      <w:tr w:rsidR="007F4791" w:rsidRPr="00A25F2C" w14:paraId="76284D61" w14:textId="77777777" w:rsidTr="00F13D2F">
        <w:tc>
          <w:tcPr>
            <w:tcW w:w="1470" w:type="pct"/>
          </w:tcPr>
          <w:p w14:paraId="6ECCD0F1" w14:textId="77777777" w:rsidR="007F4791" w:rsidRPr="00A25F2C" w:rsidRDefault="007F4791" w:rsidP="004E1FA1">
            <w:pPr>
              <w:pStyle w:val="TableBodyText"/>
            </w:pPr>
            <w:r w:rsidRPr="00A25F2C">
              <w:t>Capital Repatriation</w:t>
            </w:r>
          </w:p>
        </w:tc>
        <w:tc>
          <w:tcPr>
            <w:tcW w:w="588" w:type="pct"/>
          </w:tcPr>
          <w:p w14:paraId="42789088" w14:textId="77777777" w:rsidR="007F4791" w:rsidRPr="00A25F2C" w:rsidRDefault="007F4791" w:rsidP="00F13D2F">
            <w:pPr>
              <w:pStyle w:val="TableBodyText"/>
              <w:jc w:val="right"/>
            </w:pPr>
            <w:r w:rsidRPr="00A25F2C">
              <w:t>40.4</w:t>
            </w:r>
          </w:p>
        </w:tc>
        <w:tc>
          <w:tcPr>
            <w:tcW w:w="609" w:type="pct"/>
          </w:tcPr>
          <w:p w14:paraId="264D894D" w14:textId="77777777" w:rsidR="007F4791" w:rsidRPr="00A25F2C" w:rsidRDefault="007F4791" w:rsidP="00F13D2F">
            <w:pPr>
              <w:pStyle w:val="TableBodyText"/>
              <w:jc w:val="right"/>
            </w:pPr>
            <w:r w:rsidRPr="00A25F2C">
              <w:t>40.4</w:t>
            </w:r>
          </w:p>
        </w:tc>
        <w:tc>
          <w:tcPr>
            <w:tcW w:w="472" w:type="pct"/>
          </w:tcPr>
          <w:p w14:paraId="079904ED" w14:textId="77777777" w:rsidR="007F4791" w:rsidRPr="00A25F2C" w:rsidRDefault="007F4791" w:rsidP="00F13D2F">
            <w:pPr>
              <w:pStyle w:val="TableBodyText"/>
              <w:jc w:val="right"/>
            </w:pPr>
            <w:r w:rsidRPr="00A25F2C">
              <w:t>40.4</w:t>
            </w:r>
          </w:p>
        </w:tc>
        <w:tc>
          <w:tcPr>
            <w:tcW w:w="471" w:type="pct"/>
          </w:tcPr>
          <w:p w14:paraId="145EA32F" w14:textId="3D85DD9B" w:rsidR="007F4791" w:rsidRPr="00A25F2C" w:rsidRDefault="00995D31" w:rsidP="00F13D2F">
            <w:pPr>
              <w:pStyle w:val="TableBodyText"/>
              <w:jc w:val="right"/>
            </w:pPr>
            <w:r>
              <w:t>N/A</w:t>
            </w:r>
          </w:p>
        </w:tc>
        <w:tc>
          <w:tcPr>
            <w:tcW w:w="472" w:type="pct"/>
          </w:tcPr>
          <w:p w14:paraId="0DA70690" w14:textId="54782E5C" w:rsidR="007F4791" w:rsidRPr="00A25F2C" w:rsidRDefault="00995D31" w:rsidP="00F13D2F">
            <w:pPr>
              <w:pStyle w:val="TableBodyText"/>
              <w:jc w:val="right"/>
            </w:pPr>
            <w:r>
              <w:t>N/A</w:t>
            </w:r>
          </w:p>
        </w:tc>
        <w:tc>
          <w:tcPr>
            <w:tcW w:w="470" w:type="pct"/>
          </w:tcPr>
          <w:p w14:paraId="5BB37689" w14:textId="470BA838" w:rsidR="007F4791" w:rsidRPr="00A25F2C" w:rsidRDefault="00995D31" w:rsidP="00F13D2F">
            <w:pPr>
              <w:pStyle w:val="TableBodyText"/>
              <w:jc w:val="right"/>
            </w:pPr>
            <w:r>
              <w:t>N/A</w:t>
            </w:r>
          </w:p>
        </w:tc>
        <w:tc>
          <w:tcPr>
            <w:tcW w:w="447" w:type="pct"/>
          </w:tcPr>
          <w:p w14:paraId="0ED756C4" w14:textId="525C9FB2" w:rsidR="007F4791" w:rsidRPr="00A25F2C" w:rsidRDefault="00995D31" w:rsidP="00F13D2F">
            <w:pPr>
              <w:pStyle w:val="TableBodyText"/>
              <w:jc w:val="right"/>
            </w:pPr>
            <w:r>
              <w:t>N/A</w:t>
            </w:r>
          </w:p>
        </w:tc>
      </w:tr>
      <w:tr w:rsidR="007F4791" w:rsidRPr="00A25F2C" w14:paraId="60E4EE47" w14:textId="77777777" w:rsidTr="00F13D2F">
        <w:tc>
          <w:tcPr>
            <w:tcW w:w="1470" w:type="pct"/>
          </w:tcPr>
          <w:p w14:paraId="032D7A94" w14:textId="77777777" w:rsidR="007F4791" w:rsidRPr="00A25F2C" w:rsidRDefault="007F4791" w:rsidP="004E1FA1">
            <w:pPr>
              <w:pStyle w:val="TableBodyText"/>
            </w:pPr>
            <w:r w:rsidRPr="00A25F2C">
              <w:rPr>
                <w:b/>
              </w:rPr>
              <w:t>Total Payments to Government</w:t>
            </w:r>
          </w:p>
        </w:tc>
        <w:tc>
          <w:tcPr>
            <w:tcW w:w="588" w:type="pct"/>
          </w:tcPr>
          <w:p w14:paraId="02C42875" w14:textId="77777777" w:rsidR="007F4791" w:rsidRPr="00A25F2C" w:rsidRDefault="007F4791" w:rsidP="00F13D2F">
            <w:pPr>
              <w:pStyle w:val="TableBodyText"/>
              <w:jc w:val="right"/>
            </w:pPr>
            <w:r w:rsidRPr="00A25F2C">
              <w:rPr>
                <w:b/>
              </w:rPr>
              <w:t>200.5</w:t>
            </w:r>
          </w:p>
        </w:tc>
        <w:tc>
          <w:tcPr>
            <w:tcW w:w="609" w:type="pct"/>
          </w:tcPr>
          <w:p w14:paraId="3A50B5D2" w14:textId="77777777" w:rsidR="007F4791" w:rsidRPr="00A25F2C" w:rsidRDefault="007F4791" w:rsidP="00F13D2F">
            <w:pPr>
              <w:pStyle w:val="TableBodyText"/>
              <w:jc w:val="right"/>
            </w:pPr>
            <w:r w:rsidRPr="00A25F2C">
              <w:rPr>
                <w:b/>
              </w:rPr>
              <w:t>181.6</w:t>
            </w:r>
          </w:p>
        </w:tc>
        <w:tc>
          <w:tcPr>
            <w:tcW w:w="472" w:type="pct"/>
          </w:tcPr>
          <w:p w14:paraId="455C154C" w14:textId="77777777" w:rsidR="007F4791" w:rsidRPr="00A25F2C" w:rsidRDefault="007F4791" w:rsidP="00F13D2F">
            <w:pPr>
              <w:pStyle w:val="TableBodyText"/>
              <w:jc w:val="right"/>
            </w:pPr>
            <w:r w:rsidRPr="00A25F2C">
              <w:rPr>
                <w:b/>
              </w:rPr>
              <w:t>208.4</w:t>
            </w:r>
          </w:p>
        </w:tc>
        <w:tc>
          <w:tcPr>
            <w:tcW w:w="471" w:type="pct"/>
          </w:tcPr>
          <w:p w14:paraId="78A9D8E7" w14:textId="77777777" w:rsidR="007F4791" w:rsidRPr="00A25F2C" w:rsidRDefault="007F4791" w:rsidP="00F13D2F">
            <w:pPr>
              <w:pStyle w:val="TableBodyText"/>
              <w:jc w:val="right"/>
            </w:pPr>
            <w:r w:rsidRPr="00A25F2C">
              <w:rPr>
                <w:b/>
              </w:rPr>
              <w:t>155.7</w:t>
            </w:r>
          </w:p>
        </w:tc>
        <w:tc>
          <w:tcPr>
            <w:tcW w:w="472" w:type="pct"/>
          </w:tcPr>
          <w:p w14:paraId="26F2FD05" w14:textId="77777777" w:rsidR="007F4791" w:rsidRPr="00A25F2C" w:rsidRDefault="007F4791" w:rsidP="00F13D2F">
            <w:pPr>
              <w:pStyle w:val="TableBodyText"/>
              <w:jc w:val="right"/>
            </w:pPr>
            <w:r w:rsidRPr="00A25F2C">
              <w:rPr>
                <w:b/>
              </w:rPr>
              <w:t>180.0</w:t>
            </w:r>
          </w:p>
        </w:tc>
        <w:tc>
          <w:tcPr>
            <w:tcW w:w="470" w:type="pct"/>
          </w:tcPr>
          <w:p w14:paraId="52E18042" w14:textId="77777777" w:rsidR="007F4791" w:rsidRPr="00A25F2C" w:rsidRDefault="007F4791" w:rsidP="00F13D2F">
            <w:pPr>
              <w:pStyle w:val="TableBodyText"/>
              <w:jc w:val="right"/>
            </w:pPr>
            <w:r w:rsidRPr="00A25F2C">
              <w:rPr>
                <w:b/>
              </w:rPr>
              <w:t>194.2</w:t>
            </w:r>
          </w:p>
        </w:tc>
        <w:tc>
          <w:tcPr>
            <w:tcW w:w="447" w:type="pct"/>
          </w:tcPr>
          <w:p w14:paraId="30023CD8" w14:textId="77777777" w:rsidR="007F4791" w:rsidRPr="00A25F2C" w:rsidRDefault="007F4791" w:rsidP="00F13D2F">
            <w:pPr>
              <w:pStyle w:val="TableBodyText"/>
              <w:jc w:val="right"/>
              <w:rPr>
                <w:b/>
              </w:rPr>
            </w:pPr>
            <w:r w:rsidRPr="00A25F2C">
              <w:rPr>
                <w:b/>
              </w:rPr>
              <w:t>173.7</w:t>
            </w:r>
          </w:p>
        </w:tc>
      </w:tr>
    </w:tbl>
    <w:p w14:paraId="303FDE6A" w14:textId="34EAE5B7" w:rsidR="00143D6B" w:rsidRDefault="007F4791" w:rsidP="007F4791">
      <w:pPr>
        <w:pStyle w:val="BodyText"/>
      </w:pPr>
      <w:r w:rsidRPr="00A25F2C">
        <w:t>All tables subject to rounding</w:t>
      </w:r>
      <w:r w:rsidR="0086694E">
        <w:t>.</w:t>
      </w:r>
    </w:p>
    <w:p w14:paraId="17CC1FA7" w14:textId="187E2A5F" w:rsidR="007F4791" w:rsidRPr="0086694E" w:rsidRDefault="0086694E" w:rsidP="0086694E">
      <w:pPr>
        <w:pStyle w:val="Caption"/>
        <w:rPr>
          <w:rStyle w:val="Bold"/>
        </w:rPr>
      </w:pPr>
      <w:r w:rsidRPr="0086694E">
        <w:lastRenderedPageBreak/>
        <w:t>Table E16 – Financing</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63F0F51B"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0CE6F68E" w14:textId="7E0954ED" w:rsidR="007F4791" w:rsidRPr="00A25F2C" w:rsidRDefault="007F4791" w:rsidP="004E1FA1">
            <w:pPr>
              <w:pStyle w:val="TableBodyText"/>
            </w:pPr>
            <w:r w:rsidRPr="00A25F2C">
              <w:t xml:space="preserve">Nominal </w:t>
            </w:r>
            <w:r w:rsidR="00E65500">
              <w:t>$ million</w:t>
            </w:r>
          </w:p>
        </w:tc>
        <w:tc>
          <w:tcPr>
            <w:tcW w:w="588" w:type="pct"/>
          </w:tcPr>
          <w:p w14:paraId="138D517F" w14:textId="77777777" w:rsidR="007F4791" w:rsidRPr="00A25F2C" w:rsidRDefault="007F4791" w:rsidP="00F13D2F">
            <w:pPr>
              <w:pStyle w:val="TableBodyText"/>
              <w:jc w:val="right"/>
            </w:pPr>
            <w:r w:rsidRPr="00A25F2C">
              <w:t>2022-23</w:t>
            </w:r>
          </w:p>
          <w:p w14:paraId="2F7C398C" w14:textId="77777777" w:rsidR="007F4791" w:rsidRPr="00A25F2C" w:rsidRDefault="007F4791" w:rsidP="00F13D2F">
            <w:pPr>
              <w:pStyle w:val="TableBodyText"/>
              <w:jc w:val="right"/>
            </w:pPr>
            <w:r w:rsidRPr="00A25F2C">
              <w:t>FCT</w:t>
            </w:r>
          </w:p>
        </w:tc>
        <w:tc>
          <w:tcPr>
            <w:tcW w:w="609" w:type="pct"/>
          </w:tcPr>
          <w:p w14:paraId="4BB8837B" w14:textId="77777777" w:rsidR="007F4791" w:rsidRPr="00A25F2C" w:rsidRDefault="007F4791" w:rsidP="00F13D2F">
            <w:pPr>
              <w:pStyle w:val="TableBodyText"/>
              <w:jc w:val="right"/>
            </w:pPr>
            <w:r w:rsidRPr="00A25F2C">
              <w:t>2022-23</w:t>
            </w:r>
          </w:p>
          <w:p w14:paraId="0098D470" w14:textId="77777777" w:rsidR="007F4791" w:rsidRPr="00A25F2C" w:rsidRDefault="007F4791" w:rsidP="00F13D2F">
            <w:pPr>
              <w:pStyle w:val="TableBodyText"/>
              <w:jc w:val="right"/>
            </w:pPr>
            <w:r w:rsidRPr="00A25F2C">
              <w:t>PLAN</w:t>
            </w:r>
          </w:p>
        </w:tc>
        <w:tc>
          <w:tcPr>
            <w:tcW w:w="472" w:type="pct"/>
          </w:tcPr>
          <w:p w14:paraId="021A7C7F" w14:textId="77777777" w:rsidR="007F4791" w:rsidRPr="00A25F2C" w:rsidRDefault="007F4791" w:rsidP="00F13D2F">
            <w:pPr>
              <w:pStyle w:val="TableBodyText"/>
              <w:jc w:val="right"/>
            </w:pPr>
            <w:r w:rsidRPr="00A25F2C">
              <w:t>2023-24</w:t>
            </w:r>
          </w:p>
        </w:tc>
        <w:tc>
          <w:tcPr>
            <w:tcW w:w="471" w:type="pct"/>
          </w:tcPr>
          <w:p w14:paraId="4D26C344" w14:textId="77777777" w:rsidR="007F4791" w:rsidRPr="00A25F2C" w:rsidRDefault="007F4791" w:rsidP="00F13D2F">
            <w:pPr>
              <w:pStyle w:val="TableBodyText"/>
              <w:jc w:val="right"/>
            </w:pPr>
            <w:r w:rsidRPr="00A25F2C">
              <w:t>2024-25</w:t>
            </w:r>
          </w:p>
        </w:tc>
        <w:tc>
          <w:tcPr>
            <w:tcW w:w="472" w:type="pct"/>
          </w:tcPr>
          <w:p w14:paraId="631DF6B5" w14:textId="77777777" w:rsidR="007F4791" w:rsidRPr="00A25F2C" w:rsidRDefault="007F4791" w:rsidP="00F13D2F">
            <w:pPr>
              <w:pStyle w:val="TableBodyText"/>
              <w:jc w:val="right"/>
            </w:pPr>
            <w:r w:rsidRPr="00A25F2C">
              <w:t>2025-26</w:t>
            </w:r>
          </w:p>
        </w:tc>
        <w:tc>
          <w:tcPr>
            <w:tcW w:w="470" w:type="pct"/>
          </w:tcPr>
          <w:p w14:paraId="0F8E57AC" w14:textId="77777777" w:rsidR="007F4791" w:rsidRPr="00A25F2C" w:rsidRDefault="007F4791" w:rsidP="00F13D2F">
            <w:pPr>
              <w:pStyle w:val="TableBodyText"/>
              <w:jc w:val="right"/>
            </w:pPr>
            <w:r w:rsidRPr="00A25F2C">
              <w:t>2026-27</w:t>
            </w:r>
          </w:p>
        </w:tc>
        <w:tc>
          <w:tcPr>
            <w:tcW w:w="447" w:type="pct"/>
          </w:tcPr>
          <w:p w14:paraId="62C613C2" w14:textId="77777777" w:rsidR="007F4791" w:rsidRPr="00A25F2C" w:rsidRDefault="007F4791" w:rsidP="00F13D2F">
            <w:pPr>
              <w:pStyle w:val="TableBodyText"/>
              <w:jc w:val="right"/>
            </w:pPr>
            <w:r w:rsidRPr="00A25F2C">
              <w:t>2027-28</w:t>
            </w:r>
          </w:p>
        </w:tc>
      </w:tr>
      <w:tr w:rsidR="007F4791" w:rsidRPr="00A25F2C" w14:paraId="22EB8E01" w14:textId="77777777" w:rsidTr="00F13D2F">
        <w:tc>
          <w:tcPr>
            <w:tcW w:w="1470" w:type="pct"/>
          </w:tcPr>
          <w:p w14:paraId="2DF801C6" w14:textId="77777777" w:rsidR="007F4791" w:rsidRPr="00A25F2C" w:rsidRDefault="007F4791" w:rsidP="004E1FA1">
            <w:pPr>
              <w:pStyle w:val="TableBodyText"/>
            </w:pPr>
            <w:r w:rsidRPr="00A25F2C">
              <w:t>New Borrowings (Excl VDP Service Concession liability and Lease Repayments)</w:t>
            </w:r>
          </w:p>
        </w:tc>
        <w:tc>
          <w:tcPr>
            <w:tcW w:w="588" w:type="pct"/>
          </w:tcPr>
          <w:p w14:paraId="362CEFA1" w14:textId="77777777" w:rsidR="007F4791" w:rsidRPr="00A25F2C" w:rsidRDefault="007F4791" w:rsidP="00F13D2F">
            <w:pPr>
              <w:pStyle w:val="TableBodyText"/>
              <w:jc w:val="right"/>
            </w:pPr>
            <w:r w:rsidRPr="00A25F2C">
              <w:t>309.1</w:t>
            </w:r>
          </w:p>
        </w:tc>
        <w:tc>
          <w:tcPr>
            <w:tcW w:w="609" w:type="pct"/>
          </w:tcPr>
          <w:p w14:paraId="7CB4F1CB" w14:textId="77777777" w:rsidR="007F4791" w:rsidRPr="00A25F2C" w:rsidRDefault="007F4791" w:rsidP="00F13D2F">
            <w:pPr>
              <w:pStyle w:val="TableBodyText"/>
              <w:jc w:val="right"/>
            </w:pPr>
            <w:r w:rsidRPr="00A25F2C">
              <w:t>452.7</w:t>
            </w:r>
          </w:p>
        </w:tc>
        <w:tc>
          <w:tcPr>
            <w:tcW w:w="472" w:type="pct"/>
          </w:tcPr>
          <w:p w14:paraId="3C080651" w14:textId="77777777" w:rsidR="007F4791" w:rsidRPr="00A25F2C" w:rsidRDefault="007F4791" w:rsidP="00F13D2F">
            <w:pPr>
              <w:pStyle w:val="TableBodyText"/>
              <w:jc w:val="right"/>
            </w:pPr>
            <w:r w:rsidRPr="00A25F2C">
              <w:t>716.7</w:t>
            </w:r>
          </w:p>
        </w:tc>
        <w:tc>
          <w:tcPr>
            <w:tcW w:w="471" w:type="pct"/>
          </w:tcPr>
          <w:p w14:paraId="30348FBB" w14:textId="77777777" w:rsidR="007F4791" w:rsidRPr="00A25F2C" w:rsidRDefault="007F4791" w:rsidP="00F13D2F">
            <w:pPr>
              <w:pStyle w:val="TableBodyText"/>
              <w:jc w:val="right"/>
            </w:pPr>
            <w:r w:rsidRPr="00A25F2C">
              <w:t>673.0</w:t>
            </w:r>
          </w:p>
        </w:tc>
        <w:tc>
          <w:tcPr>
            <w:tcW w:w="472" w:type="pct"/>
          </w:tcPr>
          <w:p w14:paraId="61736D6B" w14:textId="77777777" w:rsidR="007F4791" w:rsidRPr="00A25F2C" w:rsidRDefault="007F4791" w:rsidP="00F13D2F">
            <w:pPr>
              <w:pStyle w:val="TableBodyText"/>
              <w:jc w:val="right"/>
            </w:pPr>
            <w:r w:rsidRPr="00A25F2C">
              <w:t>411.6</w:t>
            </w:r>
          </w:p>
        </w:tc>
        <w:tc>
          <w:tcPr>
            <w:tcW w:w="470" w:type="pct"/>
          </w:tcPr>
          <w:p w14:paraId="5108D036" w14:textId="77777777" w:rsidR="007F4791" w:rsidRPr="00A25F2C" w:rsidRDefault="007F4791" w:rsidP="00F13D2F">
            <w:pPr>
              <w:pStyle w:val="TableBodyText"/>
              <w:jc w:val="right"/>
            </w:pPr>
            <w:r w:rsidRPr="00A25F2C">
              <w:t>933.5</w:t>
            </w:r>
          </w:p>
        </w:tc>
        <w:tc>
          <w:tcPr>
            <w:tcW w:w="447" w:type="pct"/>
          </w:tcPr>
          <w:p w14:paraId="62C10BB8" w14:textId="77777777" w:rsidR="007F4791" w:rsidRPr="00A25F2C" w:rsidRDefault="007F4791" w:rsidP="00F13D2F">
            <w:pPr>
              <w:pStyle w:val="TableBodyText"/>
              <w:jc w:val="right"/>
            </w:pPr>
            <w:r w:rsidRPr="00A25F2C">
              <w:t>1,293.9</w:t>
            </w:r>
          </w:p>
        </w:tc>
      </w:tr>
      <w:tr w:rsidR="007F4791" w:rsidRPr="00A25F2C" w14:paraId="0508629C" w14:textId="77777777" w:rsidTr="00F13D2F">
        <w:tc>
          <w:tcPr>
            <w:tcW w:w="1470" w:type="pct"/>
          </w:tcPr>
          <w:p w14:paraId="41B36F04" w14:textId="4A841426" w:rsidR="007F4791" w:rsidRPr="00A25F2C" w:rsidRDefault="007F4791" w:rsidP="004E1FA1">
            <w:pPr>
              <w:pStyle w:val="TableBodyText"/>
            </w:pPr>
            <w:r w:rsidRPr="00A25F2C">
              <w:t>Interest Coverage (Cash) (times)</w:t>
            </w:r>
            <w:r w:rsidR="00E04EDF">
              <w:t xml:space="preserve"> </w:t>
            </w:r>
            <w:hyperlink w:anchor="NoteE16" w:history="1">
              <w:r w:rsidR="00E04EDF" w:rsidRPr="00E04EDF">
                <w:rPr>
                  <w:rStyle w:val="Hyperlink"/>
                </w:rPr>
                <w:t>See note</w:t>
              </w:r>
            </w:hyperlink>
          </w:p>
        </w:tc>
        <w:tc>
          <w:tcPr>
            <w:tcW w:w="588" w:type="pct"/>
          </w:tcPr>
          <w:p w14:paraId="1BB6BE34" w14:textId="77777777" w:rsidR="007F4791" w:rsidRPr="00A25F2C" w:rsidRDefault="007F4791" w:rsidP="00F13D2F">
            <w:pPr>
              <w:pStyle w:val="TableBodyText"/>
              <w:jc w:val="right"/>
            </w:pPr>
            <w:r w:rsidRPr="00A25F2C">
              <w:t>2.2</w:t>
            </w:r>
          </w:p>
        </w:tc>
        <w:tc>
          <w:tcPr>
            <w:tcW w:w="609" w:type="pct"/>
          </w:tcPr>
          <w:p w14:paraId="4CAB8AE2" w14:textId="77777777" w:rsidR="007F4791" w:rsidRPr="00A25F2C" w:rsidRDefault="007F4791" w:rsidP="00F13D2F">
            <w:pPr>
              <w:pStyle w:val="TableBodyText"/>
              <w:jc w:val="right"/>
            </w:pPr>
            <w:r w:rsidRPr="00A25F2C">
              <w:t>2.1</w:t>
            </w:r>
          </w:p>
        </w:tc>
        <w:tc>
          <w:tcPr>
            <w:tcW w:w="472" w:type="pct"/>
          </w:tcPr>
          <w:p w14:paraId="6BFBF091" w14:textId="77777777" w:rsidR="007F4791" w:rsidRPr="00A25F2C" w:rsidRDefault="007F4791" w:rsidP="00F13D2F">
            <w:pPr>
              <w:pStyle w:val="TableBodyText"/>
              <w:jc w:val="right"/>
            </w:pPr>
            <w:r w:rsidRPr="00A25F2C">
              <w:t>2.2</w:t>
            </w:r>
          </w:p>
        </w:tc>
        <w:tc>
          <w:tcPr>
            <w:tcW w:w="471" w:type="pct"/>
          </w:tcPr>
          <w:p w14:paraId="3B48DD2B" w14:textId="77777777" w:rsidR="007F4791" w:rsidRPr="00A25F2C" w:rsidRDefault="007F4791" w:rsidP="00F13D2F">
            <w:pPr>
              <w:pStyle w:val="TableBodyText"/>
              <w:jc w:val="right"/>
            </w:pPr>
            <w:r w:rsidRPr="00A25F2C">
              <w:t>2.1</w:t>
            </w:r>
          </w:p>
        </w:tc>
        <w:tc>
          <w:tcPr>
            <w:tcW w:w="472" w:type="pct"/>
          </w:tcPr>
          <w:p w14:paraId="75598313" w14:textId="77777777" w:rsidR="007F4791" w:rsidRPr="00A25F2C" w:rsidRDefault="007F4791" w:rsidP="00F13D2F">
            <w:pPr>
              <w:pStyle w:val="TableBodyText"/>
              <w:jc w:val="right"/>
            </w:pPr>
            <w:r w:rsidRPr="00A25F2C">
              <w:t>2.2</w:t>
            </w:r>
          </w:p>
        </w:tc>
        <w:tc>
          <w:tcPr>
            <w:tcW w:w="470" w:type="pct"/>
          </w:tcPr>
          <w:p w14:paraId="0606628C" w14:textId="77777777" w:rsidR="007F4791" w:rsidRPr="00A25F2C" w:rsidRDefault="007F4791" w:rsidP="00F13D2F">
            <w:pPr>
              <w:pStyle w:val="TableBodyText"/>
              <w:jc w:val="right"/>
            </w:pPr>
            <w:r w:rsidRPr="00A25F2C">
              <w:t>2.2</w:t>
            </w:r>
          </w:p>
        </w:tc>
        <w:tc>
          <w:tcPr>
            <w:tcW w:w="447" w:type="pct"/>
          </w:tcPr>
          <w:p w14:paraId="3DFF450A" w14:textId="77777777" w:rsidR="007F4791" w:rsidRPr="00A25F2C" w:rsidRDefault="007F4791" w:rsidP="00F13D2F">
            <w:pPr>
              <w:pStyle w:val="TableBodyText"/>
              <w:jc w:val="right"/>
            </w:pPr>
            <w:r w:rsidRPr="00A25F2C">
              <w:t>2.1</w:t>
            </w:r>
          </w:p>
        </w:tc>
      </w:tr>
    </w:tbl>
    <w:p w14:paraId="4D403C76" w14:textId="4F151525" w:rsidR="00143D6B" w:rsidRDefault="00E04EDF" w:rsidP="007F4791">
      <w:pPr>
        <w:pStyle w:val="BodyText"/>
      </w:pPr>
      <w:bookmarkStart w:id="74" w:name="NoteE16"/>
      <w:r>
        <w:t xml:space="preserve">Note: </w:t>
      </w:r>
      <w:r w:rsidR="007F4791" w:rsidRPr="00A25F2C">
        <w:t>Based on Ministerial Reporting Direction 01 All tables subject to rounding</w:t>
      </w:r>
    </w:p>
    <w:bookmarkEnd w:id="74"/>
    <w:p w14:paraId="15F3F2AD" w14:textId="4DA6221F" w:rsidR="007F4791" w:rsidRPr="00A25F2C" w:rsidRDefault="0086694E" w:rsidP="0086694E">
      <w:pPr>
        <w:pStyle w:val="Caption"/>
      </w:pPr>
      <w:r w:rsidRPr="0086694E">
        <w:t>Table E17 – EBIT by Service – Water</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44F0E379"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4AB194BD" w14:textId="345F3B72" w:rsidR="007F4791" w:rsidRPr="00A25F2C" w:rsidRDefault="007F4791" w:rsidP="004E1FA1">
            <w:pPr>
              <w:pStyle w:val="TableBodyText"/>
            </w:pPr>
            <w:r w:rsidRPr="00A25F2C">
              <w:t xml:space="preserve">Nominal </w:t>
            </w:r>
            <w:r w:rsidR="00E65500">
              <w:t>$ million</w:t>
            </w:r>
          </w:p>
        </w:tc>
        <w:tc>
          <w:tcPr>
            <w:tcW w:w="588" w:type="pct"/>
          </w:tcPr>
          <w:p w14:paraId="19A3F1DA" w14:textId="77777777" w:rsidR="007F4791" w:rsidRPr="00A25F2C" w:rsidRDefault="007F4791" w:rsidP="00F13D2F">
            <w:pPr>
              <w:pStyle w:val="TableBodyText"/>
              <w:jc w:val="right"/>
            </w:pPr>
            <w:r w:rsidRPr="00A25F2C">
              <w:t>2022-23</w:t>
            </w:r>
          </w:p>
          <w:p w14:paraId="4181EDD8" w14:textId="77777777" w:rsidR="007F4791" w:rsidRPr="00A25F2C" w:rsidRDefault="007F4791" w:rsidP="00F13D2F">
            <w:pPr>
              <w:pStyle w:val="TableBodyText"/>
              <w:jc w:val="right"/>
            </w:pPr>
            <w:r w:rsidRPr="00A25F2C">
              <w:t>FCT</w:t>
            </w:r>
          </w:p>
        </w:tc>
        <w:tc>
          <w:tcPr>
            <w:tcW w:w="609" w:type="pct"/>
          </w:tcPr>
          <w:p w14:paraId="308E5368" w14:textId="77777777" w:rsidR="007F4791" w:rsidRPr="00A25F2C" w:rsidRDefault="007F4791" w:rsidP="00F13D2F">
            <w:pPr>
              <w:pStyle w:val="TableBodyText"/>
              <w:jc w:val="right"/>
            </w:pPr>
            <w:r w:rsidRPr="00A25F2C">
              <w:t>2022-23</w:t>
            </w:r>
          </w:p>
          <w:p w14:paraId="5F2291C0" w14:textId="77777777" w:rsidR="007F4791" w:rsidRPr="00A25F2C" w:rsidRDefault="007F4791" w:rsidP="00F13D2F">
            <w:pPr>
              <w:pStyle w:val="TableBodyText"/>
              <w:jc w:val="right"/>
            </w:pPr>
            <w:r w:rsidRPr="00A25F2C">
              <w:t>PLAN</w:t>
            </w:r>
          </w:p>
        </w:tc>
        <w:tc>
          <w:tcPr>
            <w:tcW w:w="472" w:type="pct"/>
          </w:tcPr>
          <w:p w14:paraId="4C3E4BD7" w14:textId="77777777" w:rsidR="007F4791" w:rsidRPr="00A25F2C" w:rsidRDefault="007F4791" w:rsidP="00F13D2F">
            <w:pPr>
              <w:pStyle w:val="TableBodyText"/>
              <w:jc w:val="right"/>
            </w:pPr>
            <w:r w:rsidRPr="00A25F2C">
              <w:t>2023-24</w:t>
            </w:r>
          </w:p>
        </w:tc>
        <w:tc>
          <w:tcPr>
            <w:tcW w:w="471" w:type="pct"/>
          </w:tcPr>
          <w:p w14:paraId="0CF04FD3" w14:textId="77777777" w:rsidR="007F4791" w:rsidRPr="00A25F2C" w:rsidRDefault="007F4791" w:rsidP="00F13D2F">
            <w:pPr>
              <w:pStyle w:val="TableBodyText"/>
              <w:jc w:val="right"/>
            </w:pPr>
            <w:r w:rsidRPr="00A25F2C">
              <w:t>2024-25</w:t>
            </w:r>
          </w:p>
        </w:tc>
        <w:tc>
          <w:tcPr>
            <w:tcW w:w="472" w:type="pct"/>
          </w:tcPr>
          <w:p w14:paraId="7A330786" w14:textId="77777777" w:rsidR="007F4791" w:rsidRPr="00A25F2C" w:rsidRDefault="007F4791" w:rsidP="00F13D2F">
            <w:pPr>
              <w:pStyle w:val="TableBodyText"/>
              <w:jc w:val="right"/>
            </w:pPr>
            <w:r w:rsidRPr="00A25F2C">
              <w:t>2025-26</w:t>
            </w:r>
          </w:p>
        </w:tc>
        <w:tc>
          <w:tcPr>
            <w:tcW w:w="470" w:type="pct"/>
          </w:tcPr>
          <w:p w14:paraId="12B49086" w14:textId="77777777" w:rsidR="007F4791" w:rsidRPr="00A25F2C" w:rsidRDefault="007F4791" w:rsidP="00F13D2F">
            <w:pPr>
              <w:pStyle w:val="TableBodyText"/>
              <w:jc w:val="right"/>
            </w:pPr>
            <w:r w:rsidRPr="00A25F2C">
              <w:t>2026-27</w:t>
            </w:r>
          </w:p>
        </w:tc>
        <w:tc>
          <w:tcPr>
            <w:tcW w:w="447" w:type="pct"/>
          </w:tcPr>
          <w:p w14:paraId="34192D70" w14:textId="77777777" w:rsidR="007F4791" w:rsidRPr="00A25F2C" w:rsidRDefault="007F4791" w:rsidP="00F13D2F">
            <w:pPr>
              <w:pStyle w:val="TableBodyText"/>
              <w:jc w:val="right"/>
            </w:pPr>
            <w:r w:rsidRPr="00A25F2C">
              <w:t>2027-28</w:t>
            </w:r>
          </w:p>
        </w:tc>
      </w:tr>
      <w:tr w:rsidR="007F4791" w:rsidRPr="00A25F2C" w14:paraId="0A20E802" w14:textId="77777777" w:rsidTr="00F13D2F">
        <w:tc>
          <w:tcPr>
            <w:tcW w:w="1470" w:type="pct"/>
          </w:tcPr>
          <w:p w14:paraId="6853853A" w14:textId="77777777" w:rsidR="007F4791" w:rsidRPr="00A25F2C" w:rsidRDefault="007F4791" w:rsidP="004E1FA1">
            <w:pPr>
              <w:pStyle w:val="TableBodyText"/>
            </w:pPr>
            <w:r w:rsidRPr="00A25F2C">
              <w:t>Water Sales</w:t>
            </w:r>
          </w:p>
        </w:tc>
        <w:tc>
          <w:tcPr>
            <w:tcW w:w="588" w:type="pct"/>
          </w:tcPr>
          <w:p w14:paraId="672AEDF7" w14:textId="77777777" w:rsidR="007F4791" w:rsidRPr="00A25F2C" w:rsidRDefault="007F4791" w:rsidP="00F13D2F">
            <w:pPr>
              <w:pStyle w:val="TableBodyText"/>
              <w:jc w:val="right"/>
            </w:pPr>
            <w:r w:rsidRPr="00A25F2C">
              <w:t>908.3</w:t>
            </w:r>
          </w:p>
        </w:tc>
        <w:tc>
          <w:tcPr>
            <w:tcW w:w="609" w:type="pct"/>
          </w:tcPr>
          <w:p w14:paraId="74F80C25" w14:textId="77777777" w:rsidR="007F4791" w:rsidRPr="00A25F2C" w:rsidRDefault="007F4791" w:rsidP="00F13D2F">
            <w:pPr>
              <w:pStyle w:val="TableBodyText"/>
              <w:jc w:val="right"/>
            </w:pPr>
            <w:r w:rsidRPr="00A25F2C">
              <w:t>904.4</w:t>
            </w:r>
          </w:p>
        </w:tc>
        <w:tc>
          <w:tcPr>
            <w:tcW w:w="472" w:type="pct"/>
          </w:tcPr>
          <w:p w14:paraId="6AF6EB76" w14:textId="77777777" w:rsidR="007F4791" w:rsidRPr="00A25F2C" w:rsidRDefault="007F4791" w:rsidP="00F13D2F">
            <w:pPr>
              <w:pStyle w:val="TableBodyText"/>
              <w:jc w:val="right"/>
            </w:pPr>
            <w:r w:rsidRPr="00A25F2C">
              <w:t>945.0</w:t>
            </w:r>
          </w:p>
        </w:tc>
        <w:tc>
          <w:tcPr>
            <w:tcW w:w="471" w:type="pct"/>
          </w:tcPr>
          <w:p w14:paraId="1DB4102B" w14:textId="77777777" w:rsidR="007F4791" w:rsidRPr="00A25F2C" w:rsidRDefault="007F4791" w:rsidP="00F13D2F">
            <w:pPr>
              <w:pStyle w:val="TableBodyText"/>
              <w:jc w:val="right"/>
            </w:pPr>
            <w:r w:rsidRPr="00A25F2C">
              <w:t>1,022.8</w:t>
            </w:r>
          </w:p>
        </w:tc>
        <w:tc>
          <w:tcPr>
            <w:tcW w:w="472" w:type="pct"/>
          </w:tcPr>
          <w:p w14:paraId="1FDD16AB" w14:textId="77777777" w:rsidR="007F4791" w:rsidRPr="00A25F2C" w:rsidRDefault="007F4791" w:rsidP="00F13D2F">
            <w:pPr>
              <w:pStyle w:val="TableBodyText"/>
              <w:jc w:val="right"/>
            </w:pPr>
            <w:r w:rsidRPr="00A25F2C">
              <w:t>1,055.3</w:t>
            </w:r>
          </w:p>
        </w:tc>
        <w:tc>
          <w:tcPr>
            <w:tcW w:w="470" w:type="pct"/>
          </w:tcPr>
          <w:p w14:paraId="7FBB57D0" w14:textId="77777777" w:rsidR="007F4791" w:rsidRPr="00A25F2C" w:rsidRDefault="007F4791" w:rsidP="00F13D2F">
            <w:pPr>
              <w:pStyle w:val="TableBodyText"/>
              <w:jc w:val="right"/>
            </w:pPr>
            <w:r w:rsidRPr="00A25F2C">
              <w:t>1,068.5</w:t>
            </w:r>
          </w:p>
        </w:tc>
        <w:tc>
          <w:tcPr>
            <w:tcW w:w="447" w:type="pct"/>
          </w:tcPr>
          <w:p w14:paraId="5124C185" w14:textId="77777777" w:rsidR="007F4791" w:rsidRPr="00A25F2C" w:rsidRDefault="007F4791" w:rsidP="00F13D2F">
            <w:pPr>
              <w:pStyle w:val="TableBodyText"/>
              <w:jc w:val="right"/>
            </w:pPr>
            <w:r w:rsidRPr="00A25F2C">
              <w:t>1,098.9</w:t>
            </w:r>
          </w:p>
        </w:tc>
      </w:tr>
      <w:tr w:rsidR="007F4791" w:rsidRPr="00A25F2C" w14:paraId="20372AA5" w14:textId="77777777" w:rsidTr="00F13D2F">
        <w:tc>
          <w:tcPr>
            <w:tcW w:w="1470" w:type="pct"/>
          </w:tcPr>
          <w:p w14:paraId="2B713C4A" w14:textId="77777777" w:rsidR="007F4791" w:rsidRPr="00A25F2C" w:rsidRDefault="007F4791" w:rsidP="004E1FA1">
            <w:pPr>
              <w:pStyle w:val="TableBodyText"/>
            </w:pPr>
            <w:r w:rsidRPr="00A25F2C">
              <w:t>Net Asset Sales</w:t>
            </w:r>
          </w:p>
        </w:tc>
        <w:tc>
          <w:tcPr>
            <w:tcW w:w="588" w:type="pct"/>
          </w:tcPr>
          <w:p w14:paraId="3222B920" w14:textId="05BA91AD" w:rsidR="007F4791" w:rsidRPr="00A25F2C" w:rsidRDefault="00995D31" w:rsidP="00F13D2F">
            <w:pPr>
              <w:pStyle w:val="TableBodyText"/>
              <w:jc w:val="right"/>
            </w:pPr>
            <w:r>
              <w:t>N/A</w:t>
            </w:r>
          </w:p>
        </w:tc>
        <w:tc>
          <w:tcPr>
            <w:tcW w:w="609" w:type="pct"/>
          </w:tcPr>
          <w:p w14:paraId="7924DD15" w14:textId="1C901BAD" w:rsidR="007F4791" w:rsidRPr="00A25F2C" w:rsidRDefault="00995D31" w:rsidP="00F13D2F">
            <w:pPr>
              <w:pStyle w:val="TableBodyText"/>
              <w:jc w:val="right"/>
            </w:pPr>
            <w:r>
              <w:t>N/A</w:t>
            </w:r>
          </w:p>
        </w:tc>
        <w:tc>
          <w:tcPr>
            <w:tcW w:w="472" w:type="pct"/>
          </w:tcPr>
          <w:p w14:paraId="16427461" w14:textId="77777777" w:rsidR="007F4791" w:rsidRPr="00A25F2C" w:rsidRDefault="007F4791" w:rsidP="00F13D2F">
            <w:pPr>
              <w:pStyle w:val="TableBodyText"/>
              <w:jc w:val="right"/>
            </w:pPr>
            <w:r w:rsidRPr="00A25F2C">
              <w:t>0.1</w:t>
            </w:r>
          </w:p>
        </w:tc>
        <w:tc>
          <w:tcPr>
            <w:tcW w:w="471" w:type="pct"/>
          </w:tcPr>
          <w:p w14:paraId="0E77698F" w14:textId="77777777" w:rsidR="007F4791" w:rsidRPr="00A25F2C" w:rsidRDefault="007F4791" w:rsidP="00F13D2F">
            <w:pPr>
              <w:pStyle w:val="TableBodyText"/>
              <w:jc w:val="right"/>
            </w:pPr>
            <w:r w:rsidRPr="00A25F2C">
              <w:t>5.4</w:t>
            </w:r>
          </w:p>
        </w:tc>
        <w:tc>
          <w:tcPr>
            <w:tcW w:w="472" w:type="pct"/>
          </w:tcPr>
          <w:p w14:paraId="16194EE5" w14:textId="77777777" w:rsidR="007F4791" w:rsidRPr="00A25F2C" w:rsidRDefault="007F4791" w:rsidP="00F13D2F">
            <w:pPr>
              <w:pStyle w:val="TableBodyText"/>
              <w:jc w:val="right"/>
            </w:pPr>
            <w:r w:rsidRPr="00A25F2C">
              <w:t>0.5</w:t>
            </w:r>
          </w:p>
        </w:tc>
        <w:tc>
          <w:tcPr>
            <w:tcW w:w="470" w:type="pct"/>
          </w:tcPr>
          <w:p w14:paraId="63F466A7" w14:textId="77777777" w:rsidR="007F4791" w:rsidRPr="00A25F2C" w:rsidRDefault="007F4791" w:rsidP="00F13D2F">
            <w:pPr>
              <w:pStyle w:val="TableBodyText"/>
              <w:jc w:val="right"/>
            </w:pPr>
            <w:r w:rsidRPr="00A25F2C">
              <w:t>1.5</w:t>
            </w:r>
          </w:p>
        </w:tc>
        <w:tc>
          <w:tcPr>
            <w:tcW w:w="447" w:type="pct"/>
          </w:tcPr>
          <w:p w14:paraId="32130F1A" w14:textId="77777777" w:rsidR="007F4791" w:rsidRPr="00A25F2C" w:rsidRDefault="007F4791" w:rsidP="00F13D2F">
            <w:pPr>
              <w:pStyle w:val="TableBodyText"/>
              <w:jc w:val="right"/>
            </w:pPr>
            <w:r w:rsidRPr="00A25F2C">
              <w:t>0.4</w:t>
            </w:r>
          </w:p>
        </w:tc>
      </w:tr>
      <w:tr w:rsidR="007F4791" w:rsidRPr="00A25F2C" w14:paraId="015461EF" w14:textId="77777777" w:rsidTr="00F13D2F">
        <w:tc>
          <w:tcPr>
            <w:tcW w:w="1470" w:type="pct"/>
          </w:tcPr>
          <w:p w14:paraId="7F6BB961" w14:textId="77777777" w:rsidR="007F4791" w:rsidRPr="00A25F2C" w:rsidRDefault="007F4791" w:rsidP="004E1FA1">
            <w:pPr>
              <w:pStyle w:val="TableBodyText"/>
            </w:pPr>
            <w:r w:rsidRPr="00A25F2C">
              <w:t>Other Revenue</w:t>
            </w:r>
          </w:p>
        </w:tc>
        <w:tc>
          <w:tcPr>
            <w:tcW w:w="588" w:type="pct"/>
          </w:tcPr>
          <w:p w14:paraId="62B3BC57" w14:textId="77777777" w:rsidR="007F4791" w:rsidRPr="00A25F2C" w:rsidRDefault="007F4791" w:rsidP="00F13D2F">
            <w:pPr>
              <w:pStyle w:val="TableBodyText"/>
              <w:jc w:val="right"/>
            </w:pPr>
            <w:r w:rsidRPr="00A25F2C">
              <w:t>1.8</w:t>
            </w:r>
          </w:p>
        </w:tc>
        <w:tc>
          <w:tcPr>
            <w:tcW w:w="609" w:type="pct"/>
          </w:tcPr>
          <w:p w14:paraId="244D4A6C" w14:textId="77777777" w:rsidR="007F4791" w:rsidRPr="00A25F2C" w:rsidRDefault="007F4791" w:rsidP="00F13D2F">
            <w:pPr>
              <w:pStyle w:val="TableBodyText"/>
              <w:jc w:val="right"/>
            </w:pPr>
            <w:r w:rsidRPr="00A25F2C">
              <w:t>0.3</w:t>
            </w:r>
          </w:p>
        </w:tc>
        <w:tc>
          <w:tcPr>
            <w:tcW w:w="472" w:type="pct"/>
          </w:tcPr>
          <w:p w14:paraId="442CCB87" w14:textId="77777777" w:rsidR="007F4791" w:rsidRPr="00A25F2C" w:rsidRDefault="007F4791" w:rsidP="00F13D2F">
            <w:pPr>
              <w:pStyle w:val="TableBodyText"/>
              <w:jc w:val="right"/>
            </w:pPr>
            <w:r w:rsidRPr="00A25F2C">
              <w:t>0.3</w:t>
            </w:r>
          </w:p>
        </w:tc>
        <w:tc>
          <w:tcPr>
            <w:tcW w:w="471" w:type="pct"/>
          </w:tcPr>
          <w:p w14:paraId="0588E006" w14:textId="77777777" w:rsidR="007F4791" w:rsidRPr="00A25F2C" w:rsidRDefault="007F4791" w:rsidP="00F13D2F">
            <w:pPr>
              <w:pStyle w:val="TableBodyText"/>
              <w:jc w:val="right"/>
            </w:pPr>
            <w:r w:rsidRPr="00A25F2C">
              <w:t>0.3</w:t>
            </w:r>
          </w:p>
        </w:tc>
        <w:tc>
          <w:tcPr>
            <w:tcW w:w="472" w:type="pct"/>
          </w:tcPr>
          <w:p w14:paraId="6F0701D2" w14:textId="77777777" w:rsidR="007F4791" w:rsidRPr="00A25F2C" w:rsidRDefault="007F4791" w:rsidP="00F13D2F">
            <w:pPr>
              <w:pStyle w:val="TableBodyText"/>
              <w:jc w:val="right"/>
            </w:pPr>
            <w:r w:rsidRPr="00A25F2C">
              <w:t>0.3</w:t>
            </w:r>
          </w:p>
        </w:tc>
        <w:tc>
          <w:tcPr>
            <w:tcW w:w="470" w:type="pct"/>
          </w:tcPr>
          <w:p w14:paraId="7ADDC59A" w14:textId="77777777" w:rsidR="007F4791" w:rsidRPr="00A25F2C" w:rsidRDefault="007F4791" w:rsidP="00F13D2F">
            <w:pPr>
              <w:pStyle w:val="TableBodyText"/>
              <w:jc w:val="right"/>
            </w:pPr>
            <w:r w:rsidRPr="00A25F2C">
              <w:t>0.4</w:t>
            </w:r>
          </w:p>
        </w:tc>
        <w:tc>
          <w:tcPr>
            <w:tcW w:w="447" w:type="pct"/>
          </w:tcPr>
          <w:p w14:paraId="28F2AFF0" w14:textId="77777777" w:rsidR="007F4791" w:rsidRPr="00A25F2C" w:rsidRDefault="007F4791" w:rsidP="00F13D2F">
            <w:pPr>
              <w:pStyle w:val="TableBodyText"/>
              <w:jc w:val="right"/>
            </w:pPr>
            <w:r w:rsidRPr="00A25F2C">
              <w:t>0.4</w:t>
            </w:r>
          </w:p>
        </w:tc>
      </w:tr>
      <w:tr w:rsidR="007F4791" w:rsidRPr="00A25F2C" w14:paraId="0CFAECEA" w14:textId="77777777" w:rsidTr="00F13D2F">
        <w:tc>
          <w:tcPr>
            <w:tcW w:w="1470" w:type="pct"/>
          </w:tcPr>
          <w:p w14:paraId="1D3DB5D7" w14:textId="77777777" w:rsidR="007F4791" w:rsidRPr="00A25F2C" w:rsidRDefault="007F4791" w:rsidP="004E1FA1">
            <w:pPr>
              <w:pStyle w:val="TableBodyText"/>
            </w:pPr>
            <w:r w:rsidRPr="00A25F2C">
              <w:rPr>
                <w:b/>
              </w:rPr>
              <w:t>Total Operating Revenue</w:t>
            </w:r>
          </w:p>
        </w:tc>
        <w:tc>
          <w:tcPr>
            <w:tcW w:w="588" w:type="pct"/>
          </w:tcPr>
          <w:p w14:paraId="6375AC6E" w14:textId="77777777" w:rsidR="007F4791" w:rsidRPr="00A25F2C" w:rsidRDefault="007F4791" w:rsidP="00F13D2F">
            <w:pPr>
              <w:pStyle w:val="TableBodyText"/>
              <w:jc w:val="right"/>
            </w:pPr>
            <w:r w:rsidRPr="00A25F2C">
              <w:rPr>
                <w:b/>
              </w:rPr>
              <w:t>910.1</w:t>
            </w:r>
          </w:p>
        </w:tc>
        <w:tc>
          <w:tcPr>
            <w:tcW w:w="609" w:type="pct"/>
          </w:tcPr>
          <w:p w14:paraId="3464ED90" w14:textId="77777777" w:rsidR="007F4791" w:rsidRPr="00A25F2C" w:rsidRDefault="007F4791" w:rsidP="00F13D2F">
            <w:pPr>
              <w:pStyle w:val="TableBodyText"/>
              <w:jc w:val="right"/>
            </w:pPr>
            <w:r w:rsidRPr="00A25F2C">
              <w:rPr>
                <w:b/>
              </w:rPr>
              <w:t>904.7</w:t>
            </w:r>
          </w:p>
        </w:tc>
        <w:tc>
          <w:tcPr>
            <w:tcW w:w="472" w:type="pct"/>
          </w:tcPr>
          <w:p w14:paraId="1EFA7732" w14:textId="77777777" w:rsidR="007F4791" w:rsidRPr="00A25F2C" w:rsidRDefault="007F4791" w:rsidP="00F13D2F">
            <w:pPr>
              <w:pStyle w:val="TableBodyText"/>
              <w:jc w:val="right"/>
            </w:pPr>
            <w:r w:rsidRPr="00A25F2C">
              <w:rPr>
                <w:b/>
              </w:rPr>
              <w:t>945.4</w:t>
            </w:r>
          </w:p>
        </w:tc>
        <w:tc>
          <w:tcPr>
            <w:tcW w:w="471" w:type="pct"/>
          </w:tcPr>
          <w:p w14:paraId="09BB7064" w14:textId="77777777" w:rsidR="007F4791" w:rsidRPr="00A25F2C" w:rsidRDefault="007F4791" w:rsidP="00F13D2F">
            <w:pPr>
              <w:pStyle w:val="TableBodyText"/>
              <w:jc w:val="right"/>
            </w:pPr>
            <w:r w:rsidRPr="00A25F2C">
              <w:rPr>
                <w:b/>
              </w:rPr>
              <w:t>1,028.5</w:t>
            </w:r>
          </w:p>
        </w:tc>
        <w:tc>
          <w:tcPr>
            <w:tcW w:w="472" w:type="pct"/>
          </w:tcPr>
          <w:p w14:paraId="76D35AC8" w14:textId="77777777" w:rsidR="007F4791" w:rsidRPr="00A25F2C" w:rsidRDefault="007F4791" w:rsidP="00F13D2F">
            <w:pPr>
              <w:pStyle w:val="TableBodyText"/>
              <w:jc w:val="right"/>
            </w:pPr>
            <w:r w:rsidRPr="00A25F2C">
              <w:rPr>
                <w:b/>
              </w:rPr>
              <w:t>1,056.1</w:t>
            </w:r>
          </w:p>
        </w:tc>
        <w:tc>
          <w:tcPr>
            <w:tcW w:w="470" w:type="pct"/>
          </w:tcPr>
          <w:p w14:paraId="254E9C2D" w14:textId="77777777" w:rsidR="007F4791" w:rsidRPr="00A25F2C" w:rsidRDefault="007F4791" w:rsidP="00F13D2F">
            <w:pPr>
              <w:pStyle w:val="TableBodyText"/>
              <w:jc w:val="right"/>
            </w:pPr>
            <w:r w:rsidRPr="00A25F2C">
              <w:rPr>
                <w:b/>
              </w:rPr>
              <w:t>1,070.4</w:t>
            </w:r>
          </w:p>
        </w:tc>
        <w:tc>
          <w:tcPr>
            <w:tcW w:w="447" w:type="pct"/>
          </w:tcPr>
          <w:p w14:paraId="53CA2504" w14:textId="77777777" w:rsidR="007F4791" w:rsidRPr="00A25F2C" w:rsidRDefault="007F4791" w:rsidP="00F13D2F">
            <w:pPr>
              <w:pStyle w:val="TableBodyText"/>
              <w:jc w:val="right"/>
              <w:rPr>
                <w:b/>
              </w:rPr>
            </w:pPr>
            <w:r w:rsidRPr="00A25F2C">
              <w:rPr>
                <w:b/>
              </w:rPr>
              <w:t>1,099.7</w:t>
            </w:r>
          </w:p>
        </w:tc>
      </w:tr>
      <w:tr w:rsidR="007F4791" w:rsidRPr="00A25F2C" w14:paraId="52650FD7" w14:textId="77777777" w:rsidTr="00F13D2F">
        <w:tc>
          <w:tcPr>
            <w:tcW w:w="1470" w:type="pct"/>
          </w:tcPr>
          <w:p w14:paraId="115F740C" w14:textId="77777777" w:rsidR="007F4791" w:rsidRPr="00A25F2C" w:rsidRDefault="007F4791" w:rsidP="004E1FA1">
            <w:pPr>
              <w:pStyle w:val="TableBodyText"/>
            </w:pPr>
            <w:r w:rsidRPr="00A25F2C">
              <w:t>Direct Operating Expenses</w:t>
            </w:r>
          </w:p>
        </w:tc>
        <w:tc>
          <w:tcPr>
            <w:tcW w:w="588" w:type="pct"/>
          </w:tcPr>
          <w:p w14:paraId="15F3BC31" w14:textId="77777777" w:rsidR="007F4791" w:rsidRPr="00A25F2C" w:rsidRDefault="007F4791" w:rsidP="00F13D2F">
            <w:pPr>
              <w:pStyle w:val="TableBodyText"/>
              <w:jc w:val="right"/>
            </w:pPr>
            <w:r w:rsidRPr="00A25F2C">
              <w:t>232.7</w:t>
            </w:r>
          </w:p>
        </w:tc>
        <w:tc>
          <w:tcPr>
            <w:tcW w:w="609" w:type="pct"/>
          </w:tcPr>
          <w:p w14:paraId="42875062" w14:textId="77777777" w:rsidR="007F4791" w:rsidRPr="00A25F2C" w:rsidRDefault="007F4791" w:rsidP="00F13D2F">
            <w:pPr>
              <w:pStyle w:val="TableBodyText"/>
              <w:jc w:val="right"/>
            </w:pPr>
            <w:r w:rsidRPr="00A25F2C">
              <w:t>235.1</w:t>
            </w:r>
          </w:p>
        </w:tc>
        <w:tc>
          <w:tcPr>
            <w:tcW w:w="472" w:type="pct"/>
          </w:tcPr>
          <w:p w14:paraId="5C239C5D" w14:textId="77777777" w:rsidR="007F4791" w:rsidRPr="00A25F2C" w:rsidRDefault="007F4791" w:rsidP="00F13D2F">
            <w:pPr>
              <w:pStyle w:val="TableBodyText"/>
              <w:jc w:val="right"/>
            </w:pPr>
            <w:r w:rsidRPr="00A25F2C">
              <w:t>265.3</w:t>
            </w:r>
          </w:p>
        </w:tc>
        <w:tc>
          <w:tcPr>
            <w:tcW w:w="471" w:type="pct"/>
          </w:tcPr>
          <w:p w14:paraId="5D3270AD" w14:textId="77777777" w:rsidR="007F4791" w:rsidRPr="00A25F2C" w:rsidRDefault="007F4791" w:rsidP="00F13D2F">
            <w:pPr>
              <w:pStyle w:val="TableBodyText"/>
              <w:jc w:val="right"/>
            </w:pPr>
            <w:r w:rsidRPr="00A25F2C">
              <w:t>351.1</w:t>
            </w:r>
          </w:p>
        </w:tc>
        <w:tc>
          <w:tcPr>
            <w:tcW w:w="472" w:type="pct"/>
          </w:tcPr>
          <w:p w14:paraId="73199554" w14:textId="77777777" w:rsidR="007F4791" w:rsidRPr="00A25F2C" w:rsidRDefault="007F4791" w:rsidP="00F13D2F">
            <w:pPr>
              <w:pStyle w:val="TableBodyText"/>
              <w:jc w:val="right"/>
            </w:pPr>
            <w:r w:rsidRPr="00A25F2C">
              <w:t>313.6</w:t>
            </w:r>
          </w:p>
        </w:tc>
        <w:tc>
          <w:tcPr>
            <w:tcW w:w="470" w:type="pct"/>
          </w:tcPr>
          <w:p w14:paraId="3782BAB7" w14:textId="77777777" w:rsidR="007F4791" w:rsidRPr="00A25F2C" w:rsidRDefault="007F4791" w:rsidP="00F13D2F">
            <w:pPr>
              <w:pStyle w:val="TableBodyText"/>
              <w:jc w:val="right"/>
            </w:pPr>
            <w:r w:rsidRPr="00A25F2C">
              <w:t>325.8</w:t>
            </w:r>
          </w:p>
        </w:tc>
        <w:tc>
          <w:tcPr>
            <w:tcW w:w="447" w:type="pct"/>
          </w:tcPr>
          <w:p w14:paraId="2D41DA6B" w14:textId="77777777" w:rsidR="007F4791" w:rsidRPr="00A25F2C" w:rsidRDefault="007F4791" w:rsidP="00F13D2F">
            <w:pPr>
              <w:pStyle w:val="TableBodyText"/>
              <w:jc w:val="right"/>
            </w:pPr>
            <w:r w:rsidRPr="00A25F2C">
              <w:t>339.6</w:t>
            </w:r>
          </w:p>
        </w:tc>
      </w:tr>
      <w:tr w:rsidR="007F4791" w:rsidRPr="00A25F2C" w14:paraId="454896A4" w14:textId="77777777" w:rsidTr="00F13D2F">
        <w:tc>
          <w:tcPr>
            <w:tcW w:w="1470" w:type="pct"/>
          </w:tcPr>
          <w:p w14:paraId="0A1D8433" w14:textId="77777777" w:rsidR="007F4791" w:rsidRPr="00A25F2C" w:rsidRDefault="007F4791" w:rsidP="004E1FA1">
            <w:pPr>
              <w:pStyle w:val="TableBodyText"/>
            </w:pPr>
            <w:r w:rsidRPr="00A25F2C">
              <w:t>Depreciation</w:t>
            </w:r>
          </w:p>
        </w:tc>
        <w:tc>
          <w:tcPr>
            <w:tcW w:w="588" w:type="pct"/>
          </w:tcPr>
          <w:p w14:paraId="29654AE2" w14:textId="77777777" w:rsidR="007F4791" w:rsidRPr="00A25F2C" w:rsidRDefault="007F4791" w:rsidP="00F13D2F">
            <w:pPr>
              <w:pStyle w:val="TableBodyText"/>
              <w:jc w:val="right"/>
            </w:pPr>
            <w:r w:rsidRPr="00A25F2C">
              <w:t>188.4</w:t>
            </w:r>
          </w:p>
        </w:tc>
        <w:tc>
          <w:tcPr>
            <w:tcW w:w="609" w:type="pct"/>
          </w:tcPr>
          <w:p w14:paraId="2DF675FA" w14:textId="77777777" w:rsidR="007F4791" w:rsidRPr="00A25F2C" w:rsidRDefault="007F4791" w:rsidP="00F13D2F">
            <w:pPr>
              <w:pStyle w:val="TableBodyText"/>
              <w:jc w:val="right"/>
            </w:pPr>
            <w:r w:rsidRPr="00A25F2C">
              <w:t>179.3</w:t>
            </w:r>
          </w:p>
        </w:tc>
        <w:tc>
          <w:tcPr>
            <w:tcW w:w="472" w:type="pct"/>
          </w:tcPr>
          <w:p w14:paraId="6318C24C" w14:textId="77777777" w:rsidR="007F4791" w:rsidRPr="00A25F2C" w:rsidRDefault="007F4791" w:rsidP="00F13D2F">
            <w:pPr>
              <w:pStyle w:val="TableBodyText"/>
              <w:jc w:val="right"/>
            </w:pPr>
            <w:r w:rsidRPr="00A25F2C">
              <w:t>189.8</w:t>
            </w:r>
          </w:p>
        </w:tc>
        <w:tc>
          <w:tcPr>
            <w:tcW w:w="471" w:type="pct"/>
          </w:tcPr>
          <w:p w14:paraId="47E2CC94" w14:textId="77777777" w:rsidR="007F4791" w:rsidRPr="00A25F2C" w:rsidRDefault="007F4791" w:rsidP="00F13D2F">
            <w:pPr>
              <w:pStyle w:val="TableBodyText"/>
              <w:jc w:val="right"/>
            </w:pPr>
            <w:r w:rsidRPr="00A25F2C">
              <w:t>199.2</w:t>
            </w:r>
          </w:p>
        </w:tc>
        <w:tc>
          <w:tcPr>
            <w:tcW w:w="472" w:type="pct"/>
          </w:tcPr>
          <w:p w14:paraId="62CF23FA" w14:textId="77777777" w:rsidR="007F4791" w:rsidRPr="00A25F2C" w:rsidRDefault="007F4791" w:rsidP="00F13D2F">
            <w:pPr>
              <w:pStyle w:val="TableBodyText"/>
              <w:jc w:val="right"/>
            </w:pPr>
            <w:r w:rsidRPr="00A25F2C">
              <w:t>203.1</w:t>
            </w:r>
          </w:p>
        </w:tc>
        <w:tc>
          <w:tcPr>
            <w:tcW w:w="470" w:type="pct"/>
          </w:tcPr>
          <w:p w14:paraId="3FA42256" w14:textId="77777777" w:rsidR="007F4791" w:rsidRPr="00A25F2C" w:rsidRDefault="007F4791" w:rsidP="00F13D2F">
            <w:pPr>
              <w:pStyle w:val="TableBodyText"/>
              <w:jc w:val="right"/>
            </w:pPr>
            <w:r w:rsidRPr="00A25F2C">
              <w:t>208.3</w:t>
            </w:r>
          </w:p>
        </w:tc>
        <w:tc>
          <w:tcPr>
            <w:tcW w:w="447" w:type="pct"/>
          </w:tcPr>
          <w:p w14:paraId="16C60207" w14:textId="77777777" w:rsidR="007F4791" w:rsidRPr="00A25F2C" w:rsidRDefault="007F4791" w:rsidP="00F13D2F">
            <w:pPr>
              <w:pStyle w:val="TableBodyText"/>
              <w:jc w:val="right"/>
            </w:pPr>
            <w:r w:rsidRPr="00A25F2C">
              <w:t>222.7</w:t>
            </w:r>
          </w:p>
        </w:tc>
      </w:tr>
      <w:tr w:rsidR="007F4791" w:rsidRPr="00A25F2C" w14:paraId="71928ED5" w14:textId="77777777" w:rsidTr="00F13D2F">
        <w:tc>
          <w:tcPr>
            <w:tcW w:w="1470" w:type="pct"/>
          </w:tcPr>
          <w:p w14:paraId="0CC7F217" w14:textId="77777777" w:rsidR="007F4791" w:rsidRPr="00A25F2C" w:rsidRDefault="007F4791" w:rsidP="004E1FA1">
            <w:pPr>
              <w:pStyle w:val="TableBodyText"/>
            </w:pPr>
            <w:r w:rsidRPr="00A25F2C">
              <w:t>Works in Progress / Asset Write-off</w:t>
            </w:r>
          </w:p>
        </w:tc>
        <w:tc>
          <w:tcPr>
            <w:tcW w:w="588" w:type="pct"/>
          </w:tcPr>
          <w:p w14:paraId="6D9F0E08" w14:textId="77777777" w:rsidR="007F4791" w:rsidRPr="00A25F2C" w:rsidRDefault="007F4791" w:rsidP="00F13D2F">
            <w:pPr>
              <w:pStyle w:val="TableBodyText"/>
              <w:jc w:val="right"/>
            </w:pPr>
            <w:r w:rsidRPr="00A25F2C">
              <w:t>1.6</w:t>
            </w:r>
          </w:p>
        </w:tc>
        <w:tc>
          <w:tcPr>
            <w:tcW w:w="609" w:type="pct"/>
          </w:tcPr>
          <w:p w14:paraId="09EA3329" w14:textId="77777777" w:rsidR="007F4791" w:rsidRPr="00A25F2C" w:rsidRDefault="007F4791" w:rsidP="00F13D2F">
            <w:pPr>
              <w:pStyle w:val="TableBodyText"/>
              <w:jc w:val="right"/>
            </w:pPr>
            <w:r w:rsidRPr="00A25F2C">
              <w:t>0.4</w:t>
            </w:r>
          </w:p>
        </w:tc>
        <w:tc>
          <w:tcPr>
            <w:tcW w:w="472" w:type="pct"/>
          </w:tcPr>
          <w:p w14:paraId="78B94EE2" w14:textId="77777777" w:rsidR="007F4791" w:rsidRPr="00A25F2C" w:rsidRDefault="007F4791" w:rsidP="00F13D2F">
            <w:pPr>
              <w:pStyle w:val="TableBodyText"/>
              <w:jc w:val="right"/>
            </w:pPr>
            <w:r w:rsidRPr="00A25F2C">
              <w:t>2.5</w:t>
            </w:r>
          </w:p>
        </w:tc>
        <w:tc>
          <w:tcPr>
            <w:tcW w:w="471" w:type="pct"/>
          </w:tcPr>
          <w:p w14:paraId="78142DA2" w14:textId="77777777" w:rsidR="007F4791" w:rsidRPr="00A25F2C" w:rsidRDefault="007F4791" w:rsidP="00F13D2F">
            <w:pPr>
              <w:pStyle w:val="TableBodyText"/>
              <w:jc w:val="right"/>
            </w:pPr>
            <w:r w:rsidRPr="00A25F2C">
              <w:t>2.4</w:t>
            </w:r>
          </w:p>
        </w:tc>
        <w:tc>
          <w:tcPr>
            <w:tcW w:w="472" w:type="pct"/>
          </w:tcPr>
          <w:p w14:paraId="392791AB" w14:textId="77777777" w:rsidR="007F4791" w:rsidRPr="00A25F2C" w:rsidRDefault="007F4791" w:rsidP="00F13D2F">
            <w:pPr>
              <w:pStyle w:val="TableBodyText"/>
              <w:jc w:val="right"/>
            </w:pPr>
            <w:r w:rsidRPr="00A25F2C">
              <w:t>2.4</w:t>
            </w:r>
          </w:p>
        </w:tc>
        <w:tc>
          <w:tcPr>
            <w:tcW w:w="470" w:type="pct"/>
          </w:tcPr>
          <w:p w14:paraId="3E0C23AA" w14:textId="77777777" w:rsidR="007F4791" w:rsidRPr="00A25F2C" w:rsidRDefault="007F4791" w:rsidP="00F13D2F">
            <w:pPr>
              <w:pStyle w:val="TableBodyText"/>
              <w:jc w:val="right"/>
            </w:pPr>
            <w:r w:rsidRPr="00A25F2C">
              <w:t>2.4</w:t>
            </w:r>
          </w:p>
        </w:tc>
        <w:tc>
          <w:tcPr>
            <w:tcW w:w="447" w:type="pct"/>
          </w:tcPr>
          <w:p w14:paraId="72C102BA" w14:textId="77777777" w:rsidR="007F4791" w:rsidRPr="00A25F2C" w:rsidRDefault="007F4791" w:rsidP="00F13D2F">
            <w:pPr>
              <w:pStyle w:val="TableBodyText"/>
              <w:jc w:val="right"/>
            </w:pPr>
            <w:r w:rsidRPr="00A25F2C">
              <w:t>2.4</w:t>
            </w:r>
          </w:p>
        </w:tc>
      </w:tr>
      <w:tr w:rsidR="007F4791" w:rsidRPr="00A25F2C" w14:paraId="2414EFBE" w14:textId="77777777" w:rsidTr="00F13D2F">
        <w:tc>
          <w:tcPr>
            <w:tcW w:w="1470" w:type="pct"/>
          </w:tcPr>
          <w:p w14:paraId="1E7E658F" w14:textId="77777777" w:rsidR="007F4791" w:rsidRPr="00A25F2C" w:rsidRDefault="007F4791" w:rsidP="004E1FA1">
            <w:pPr>
              <w:pStyle w:val="TableBodyText"/>
            </w:pPr>
            <w:r w:rsidRPr="00A25F2C">
              <w:rPr>
                <w:b/>
              </w:rPr>
              <w:t>EBIT</w:t>
            </w:r>
          </w:p>
        </w:tc>
        <w:tc>
          <w:tcPr>
            <w:tcW w:w="588" w:type="pct"/>
          </w:tcPr>
          <w:p w14:paraId="720AF33E" w14:textId="77777777" w:rsidR="007F4791" w:rsidRPr="00A25F2C" w:rsidRDefault="007F4791" w:rsidP="00F13D2F">
            <w:pPr>
              <w:pStyle w:val="TableBodyText"/>
              <w:jc w:val="right"/>
            </w:pPr>
            <w:r w:rsidRPr="00A25F2C">
              <w:rPr>
                <w:b/>
              </w:rPr>
              <w:t>487.4</w:t>
            </w:r>
          </w:p>
        </w:tc>
        <w:tc>
          <w:tcPr>
            <w:tcW w:w="609" w:type="pct"/>
          </w:tcPr>
          <w:p w14:paraId="292278A0" w14:textId="77777777" w:rsidR="007F4791" w:rsidRPr="00A25F2C" w:rsidRDefault="007F4791" w:rsidP="00F13D2F">
            <w:pPr>
              <w:pStyle w:val="TableBodyText"/>
              <w:jc w:val="right"/>
            </w:pPr>
            <w:r w:rsidRPr="00A25F2C">
              <w:rPr>
                <w:b/>
              </w:rPr>
              <w:t>489.9</w:t>
            </w:r>
          </w:p>
        </w:tc>
        <w:tc>
          <w:tcPr>
            <w:tcW w:w="472" w:type="pct"/>
          </w:tcPr>
          <w:p w14:paraId="2A7A6991" w14:textId="77777777" w:rsidR="007F4791" w:rsidRPr="00A25F2C" w:rsidRDefault="007F4791" w:rsidP="00F13D2F">
            <w:pPr>
              <w:pStyle w:val="TableBodyText"/>
              <w:jc w:val="right"/>
            </w:pPr>
            <w:r w:rsidRPr="00A25F2C">
              <w:rPr>
                <w:b/>
              </w:rPr>
              <w:t>487.8</w:t>
            </w:r>
          </w:p>
        </w:tc>
        <w:tc>
          <w:tcPr>
            <w:tcW w:w="471" w:type="pct"/>
          </w:tcPr>
          <w:p w14:paraId="3530B88B" w14:textId="77777777" w:rsidR="007F4791" w:rsidRPr="00A25F2C" w:rsidRDefault="007F4791" w:rsidP="00F13D2F">
            <w:pPr>
              <w:pStyle w:val="TableBodyText"/>
              <w:jc w:val="right"/>
            </w:pPr>
            <w:r w:rsidRPr="00A25F2C">
              <w:rPr>
                <w:b/>
              </w:rPr>
              <w:t>475.8</w:t>
            </w:r>
          </w:p>
        </w:tc>
        <w:tc>
          <w:tcPr>
            <w:tcW w:w="472" w:type="pct"/>
          </w:tcPr>
          <w:p w14:paraId="2924704F" w14:textId="77777777" w:rsidR="007F4791" w:rsidRPr="00A25F2C" w:rsidRDefault="007F4791" w:rsidP="00F13D2F">
            <w:pPr>
              <w:pStyle w:val="TableBodyText"/>
              <w:jc w:val="right"/>
            </w:pPr>
            <w:r w:rsidRPr="00A25F2C">
              <w:rPr>
                <w:b/>
              </w:rPr>
              <w:t>537.0</w:t>
            </w:r>
          </w:p>
        </w:tc>
        <w:tc>
          <w:tcPr>
            <w:tcW w:w="470" w:type="pct"/>
          </w:tcPr>
          <w:p w14:paraId="75F548EF" w14:textId="77777777" w:rsidR="007F4791" w:rsidRPr="00A25F2C" w:rsidRDefault="007F4791" w:rsidP="00F13D2F">
            <w:pPr>
              <w:pStyle w:val="TableBodyText"/>
              <w:jc w:val="right"/>
            </w:pPr>
            <w:r w:rsidRPr="00A25F2C">
              <w:rPr>
                <w:b/>
              </w:rPr>
              <w:t>533.9</w:t>
            </w:r>
          </w:p>
        </w:tc>
        <w:tc>
          <w:tcPr>
            <w:tcW w:w="447" w:type="pct"/>
          </w:tcPr>
          <w:p w14:paraId="5DFBE88A" w14:textId="77777777" w:rsidR="007F4791" w:rsidRPr="00A25F2C" w:rsidRDefault="007F4791" w:rsidP="00F13D2F">
            <w:pPr>
              <w:pStyle w:val="TableBodyText"/>
              <w:jc w:val="right"/>
              <w:rPr>
                <w:b/>
              </w:rPr>
            </w:pPr>
            <w:r w:rsidRPr="00A25F2C">
              <w:rPr>
                <w:b/>
              </w:rPr>
              <w:t>535.0</w:t>
            </w:r>
          </w:p>
        </w:tc>
      </w:tr>
    </w:tbl>
    <w:p w14:paraId="5A8A74AD" w14:textId="2C4E5634" w:rsidR="00143D6B" w:rsidRDefault="007F4791" w:rsidP="007F4791">
      <w:pPr>
        <w:pStyle w:val="BodyText"/>
      </w:pPr>
      <w:r w:rsidRPr="00A25F2C">
        <w:t>All tables subject to rounding</w:t>
      </w:r>
      <w:r w:rsidR="0086694E">
        <w:t>.</w:t>
      </w:r>
    </w:p>
    <w:p w14:paraId="59AFA96F" w14:textId="1BDCFBCA" w:rsidR="007F4791" w:rsidRPr="00A25F2C" w:rsidRDefault="0086694E" w:rsidP="0086694E">
      <w:pPr>
        <w:pStyle w:val="Caption"/>
      </w:pPr>
      <w:r w:rsidRPr="0086694E">
        <w:t>Table E19 – EBIT by Service – Waterways and Drainage</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4AEF4294"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4303FC70" w14:textId="54B703F9" w:rsidR="007F4791" w:rsidRPr="00A25F2C" w:rsidRDefault="007F4791" w:rsidP="004E1FA1">
            <w:pPr>
              <w:pStyle w:val="TableBodyText"/>
            </w:pPr>
            <w:r w:rsidRPr="00A25F2C">
              <w:t xml:space="preserve">Nominal </w:t>
            </w:r>
            <w:r w:rsidR="00E65500">
              <w:t>$ million</w:t>
            </w:r>
          </w:p>
        </w:tc>
        <w:tc>
          <w:tcPr>
            <w:tcW w:w="588" w:type="pct"/>
          </w:tcPr>
          <w:p w14:paraId="0AF82ADC" w14:textId="77777777" w:rsidR="007F4791" w:rsidRPr="00A25F2C" w:rsidRDefault="007F4791" w:rsidP="00F13D2F">
            <w:pPr>
              <w:pStyle w:val="TableBodyText"/>
              <w:jc w:val="right"/>
            </w:pPr>
            <w:r w:rsidRPr="00A25F2C">
              <w:t>2022-23</w:t>
            </w:r>
          </w:p>
          <w:p w14:paraId="6D90E90D" w14:textId="77777777" w:rsidR="007F4791" w:rsidRPr="00A25F2C" w:rsidRDefault="007F4791" w:rsidP="00F13D2F">
            <w:pPr>
              <w:pStyle w:val="TableBodyText"/>
              <w:jc w:val="right"/>
            </w:pPr>
            <w:r w:rsidRPr="00A25F2C">
              <w:t>FCT</w:t>
            </w:r>
          </w:p>
        </w:tc>
        <w:tc>
          <w:tcPr>
            <w:tcW w:w="609" w:type="pct"/>
          </w:tcPr>
          <w:p w14:paraId="6B497B3A" w14:textId="77777777" w:rsidR="007F4791" w:rsidRPr="00A25F2C" w:rsidRDefault="007F4791" w:rsidP="00F13D2F">
            <w:pPr>
              <w:pStyle w:val="TableBodyText"/>
              <w:jc w:val="right"/>
            </w:pPr>
            <w:r w:rsidRPr="00A25F2C">
              <w:t>2022-23</w:t>
            </w:r>
          </w:p>
          <w:p w14:paraId="7D09424C" w14:textId="77777777" w:rsidR="007F4791" w:rsidRPr="00A25F2C" w:rsidRDefault="007F4791" w:rsidP="00F13D2F">
            <w:pPr>
              <w:pStyle w:val="TableBodyText"/>
              <w:jc w:val="right"/>
            </w:pPr>
            <w:r w:rsidRPr="00A25F2C">
              <w:t>PLAN</w:t>
            </w:r>
          </w:p>
        </w:tc>
        <w:tc>
          <w:tcPr>
            <w:tcW w:w="472" w:type="pct"/>
          </w:tcPr>
          <w:p w14:paraId="674162E8" w14:textId="77777777" w:rsidR="007F4791" w:rsidRPr="00A25F2C" w:rsidRDefault="007F4791" w:rsidP="00F13D2F">
            <w:pPr>
              <w:pStyle w:val="TableBodyText"/>
              <w:jc w:val="right"/>
            </w:pPr>
            <w:r w:rsidRPr="00A25F2C">
              <w:t>2023-24</w:t>
            </w:r>
          </w:p>
        </w:tc>
        <w:tc>
          <w:tcPr>
            <w:tcW w:w="471" w:type="pct"/>
          </w:tcPr>
          <w:p w14:paraId="527C3D84" w14:textId="77777777" w:rsidR="007F4791" w:rsidRPr="00A25F2C" w:rsidRDefault="007F4791" w:rsidP="00F13D2F">
            <w:pPr>
              <w:pStyle w:val="TableBodyText"/>
              <w:jc w:val="right"/>
            </w:pPr>
            <w:r w:rsidRPr="00A25F2C">
              <w:t>2024-25</w:t>
            </w:r>
          </w:p>
        </w:tc>
        <w:tc>
          <w:tcPr>
            <w:tcW w:w="472" w:type="pct"/>
          </w:tcPr>
          <w:p w14:paraId="0350C5A0" w14:textId="77777777" w:rsidR="007F4791" w:rsidRPr="00A25F2C" w:rsidRDefault="007F4791" w:rsidP="00F13D2F">
            <w:pPr>
              <w:pStyle w:val="TableBodyText"/>
              <w:jc w:val="right"/>
            </w:pPr>
            <w:r w:rsidRPr="00A25F2C">
              <w:t>2025-26</w:t>
            </w:r>
          </w:p>
        </w:tc>
        <w:tc>
          <w:tcPr>
            <w:tcW w:w="470" w:type="pct"/>
          </w:tcPr>
          <w:p w14:paraId="4CBA4857" w14:textId="77777777" w:rsidR="007F4791" w:rsidRPr="00A25F2C" w:rsidRDefault="007F4791" w:rsidP="00F13D2F">
            <w:pPr>
              <w:pStyle w:val="TableBodyText"/>
              <w:jc w:val="right"/>
            </w:pPr>
            <w:r w:rsidRPr="00A25F2C">
              <w:t>2026-27</w:t>
            </w:r>
          </w:p>
        </w:tc>
        <w:tc>
          <w:tcPr>
            <w:tcW w:w="447" w:type="pct"/>
          </w:tcPr>
          <w:p w14:paraId="21761ACF" w14:textId="77777777" w:rsidR="007F4791" w:rsidRPr="00A25F2C" w:rsidRDefault="007F4791" w:rsidP="00F13D2F">
            <w:pPr>
              <w:pStyle w:val="TableBodyText"/>
              <w:jc w:val="right"/>
            </w:pPr>
            <w:r w:rsidRPr="00A25F2C">
              <w:t>2027-28</w:t>
            </w:r>
          </w:p>
        </w:tc>
      </w:tr>
      <w:tr w:rsidR="007F4791" w:rsidRPr="00A25F2C" w14:paraId="514FAECE" w14:textId="77777777" w:rsidTr="00F13D2F">
        <w:tc>
          <w:tcPr>
            <w:tcW w:w="1470" w:type="pct"/>
          </w:tcPr>
          <w:p w14:paraId="57D9F743" w14:textId="77777777" w:rsidR="007F4791" w:rsidRPr="00A25F2C" w:rsidRDefault="007F4791" w:rsidP="004E1FA1">
            <w:pPr>
              <w:pStyle w:val="TableBodyText"/>
            </w:pPr>
            <w:r w:rsidRPr="00A25F2C">
              <w:t>Sewerage Treatment</w:t>
            </w:r>
          </w:p>
        </w:tc>
        <w:tc>
          <w:tcPr>
            <w:tcW w:w="588" w:type="pct"/>
          </w:tcPr>
          <w:p w14:paraId="5FEFBAD3" w14:textId="77777777" w:rsidR="007F4791" w:rsidRPr="00A25F2C" w:rsidRDefault="007F4791" w:rsidP="00F13D2F">
            <w:pPr>
              <w:pStyle w:val="TableBodyText"/>
              <w:jc w:val="right"/>
            </w:pPr>
            <w:r w:rsidRPr="00A25F2C">
              <w:t>441.7</w:t>
            </w:r>
          </w:p>
        </w:tc>
        <w:tc>
          <w:tcPr>
            <w:tcW w:w="609" w:type="pct"/>
          </w:tcPr>
          <w:p w14:paraId="0ADF29AA" w14:textId="77777777" w:rsidR="007F4791" w:rsidRPr="00A25F2C" w:rsidRDefault="007F4791" w:rsidP="00F13D2F">
            <w:pPr>
              <w:pStyle w:val="TableBodyText"/>
              <w:jc w:val="right"/>
            </w:pPr>
            <w:r w:rsidRPr="00A25F2C">
              <w:t>425.7</w:t>
            </w:r>
          </w:p>
        </w:tc>
        <w:tc>
          <w:tcPr>
            <w:tcW w:w="472" w:type="pct"/>
          </w:tcPr>
          <w:p w14:paraId="2E4E1FA6" w14:textId="77777777" w:rsidR="007F4791" w:rsidRPr="00A25F2C" w:rsidRDefault="007F4791" w:rsidP="00F13D2F">
            <w:pPr>
              <w:pStyle w:val="TableBodyText"/>
              <w:jc w:val="right"/>
            </w:pPr>
            <w:r w:rsidRPr="00A25F2C">
              <w:t>487.3</w:t>
            </w:r>
          </w:p>
        </w:tc>
        <w:tc>
          <w:tcPr>
            <w:tcW w:w="471" w:type="pct"/>
          </w:tcPr>
          <w:p w14:paraId="0620E253" w14:textId="77777777" w:rsidR="007F4791" w:rsidRPr="00A25F2C" w:rsidRDefault="007F4791" w:rsidP="00F13D2F">
            <w:pPr>
              <w:pStyle w:val="TableBodyText"/>
              <w:jc w:val="right"/>
            </w:pPr>
            <w:r w:rsidRPr="00A25F2C">
              <w:t>518.9</w:t>
            </w:r>
          </w:p>
        </w:tc>
        <w:tc>
          <w:tcPr>
            <w:tcW w:w="472" w:type="pct"/>
          </w:tcPr>
          <w:p w14:paraId="3697346A" w14:textId="77777777" w:rsidR="007F4791" w:rsidRPr="00A25F2C" w:rsidRDefault="007F4791" w:rsidP="00F13D2F">
            <w:pPr>
              <w:pStyle w:val="TableBodyText"/>
              <w:jc w:val="right"/>
            </w:pPr>
            <w:r w:rsidRPr="00A25F2C">
              <w:t>552.0</w:t>
            </w:r>
          </w:p>
        </w:tc>
        <w:tc>
          <w:tcPr>
            <w:tcW w:w="470" w:type="pct"/>
          </w:tcPr>
          <w:p w14:paraId="61C28B11" w14:textId="77777777" w:rsidR="007F4791" w:rsidRPr="00A25F2C" w:rsidRDefault="007F4791" w:rsidP="00F13D2F">
            <w:pPr>
              <w:pStyle w:val="TableBodyText"/>
              <w:jc w:val="right"/>
            </w:pPr>
            <w:r w:rsidRPr="00A25F2C">
              <w:t>564.1</w:t>
            </w:r>
          </w:p>
        </w:tc>
        <w:tc>
          <w:tcPr>
            <w:tcW w:w="447" w:type="pct"/>
          </w:tcPr>
          <w:p w14:paraId="7F5DECBB" w14:textId="77777777" w:rsidR="007F4791" w:rsidRPr="00A25F2C" w:rsidRDefault="007F4791" w:rsidP="00F13D2F">
            <w:pPr>
              <w:pStyle w:val="TableBodyText"/>
              <w:jc w:val="right"/>
            </w:pPr>
            <w:r w:rsidRPr="00A25F2C">
              <w:t>596.1</w:t>
            </w:r>
          </w:p>
        </w:tc>
      </w:tr>
      <w:tr w:rsidR="007F4791" w:rsidRPr="00A25F2C" w14:paraId="3DF5D52F" w14:textId="77777777" w:rsidTr="00F13D2F">
        <w:tc>
          <w:tcPr>
            <w:tcW w:w="1470" w:type="pct"/>
          </w:tcPr>
          <w:p w14:paraId="78F1EBD3" w14:textId="77777777" w:rsidR="007F4791" w:rsidRPr="00A25F2C" w:rsidRDefault="007F4791" w:rsidP="004E1FA1">
            <w:pPr>
              <w:pStyle w:val="TableBodyText"/>
            </w:pPr>
            <w:r w:rsidRPr="00A25F2C">
              <w:t>Net Asset Sales</w:t>
            </w:r>
          </w:p>
        </w:tc>
        <w:tc>
          <w:tcPr>
            <w:tcW w:w="588" w:type="pct"/>
          </w:tcPr>
          <w:p w14:paraId="73F0F96E" w14:textId="77777777" w:rsidR="007F4791" w:rsidRPr="00A25F2C" w:rsidRDefault="007F4791" w:rsidP="00F13D2F">
            <w:pPr>
              <w:pStyle w:val="TableBodyText"/>
              <w:jc w:val="right"/>
            </w:pPr>
            <w:r w:rsidRPr="00A25F2C">
              <w:t>15.6</w:t>
            </w:r>
          </w:p>
        </w:tc>
        <w:tc>
          <w:tcPr>
            <w:tcW w:w="609" w:type="pct"/>
          </w:tcPr>
          <w:p w14:paraId="7E9DF3DB" w14:textId="77777777" w:rsidR="007F4791" w:rsidRPr="00A25F2C" w:rsidRDefault="007F4791" w:rsidP="00F13D2F">
            <w:pPr>
              <w:pStyle w:val="TableBodyText"/>
              <w:jc w:val="right"/>
            </w:pPr>
            <w:r w:rsidRPr="00A25F2C">
              <w:t>15.4</w:t>
            </w:r>
          </w:p>
        </w:tc>
        <w:tc>
          <w:tcPr>
            <w:tcW w:w="472" w:type="pct"/>
          </w:tcPr>
          <w:p w14:paraId="0CA1255A" w14:textId="77777777" w:rsidR="007F4791" w:rsidRPr="00A25F2C" w:rsidRDefault="007F4791" w:rsidP="00F13D2F">
            <w:pPr>
              <w:pStyle w:val="TableBodyText"/>
              <w:jc w:val="right"/>
            </w:pPr>
            <w:r w:rsidRPr="00A25F2C">
              <w:t>21.0</w:t>
            </w:r>
          </w:p>
        </w:tc>
        <w:tc>
          <w:tcPr>
            <w:tcW w:w="471" w:type="pct"/>
          </w:tcPr>
          <w:p w14:paraId="1D22ACDD" w14:textId="77777777" w:rsidR="007F4791" w:rsidRPr="00A25F2C" w:rsidRDefault="007F4791" w:rsidP="00F13D2F">
            <w:pPr>
              <w:pStyle w:val="TableBodyText"/>
              <w:jc w:val="right"/>
            </w:pPr>
            <w:r w:rsidRPr="00A25F2C">
              <w:t>19.0</w:t>
            </w:r>
          </w:p>
        </w:tc>
        <w:tc>
          <w:tcPr>
            <w:tcW w:w="472" w:type="pct"/>
          </w:tcPr>
          <w:p w14:paraId="564E527B" w14:textId="77777777" w:rsidR="007F4791" w:rsidRPr="00A25F2C" w:rsidRDefault="007F4791" w:rsidP="00F13D2F">
            <w:pPr>
              <w:pStyle w:val="TableBodyText"/>
              <w:jc w:val="right"/>
            </w:pPr>
            <w:r w:rsidRPr="00A25F2C">
              <w:t>9.8</w:t>
            </w:r>
          </w:p>
        </w:tc>
        <w:tc>
          <w:tcPr>
            <w:tcW w:w="470" w:type="pct"/>
          </w:tcPr>
          <w:p w14:paraId="15BF1B5E" w14:textId="77777777" w:rsidR="007F4791" w:rsidRPr="00A25F2C" w:rsidRDefault="007F4791" w:rsidP="00F13D2F">
            <w:pPr>
              <w:pStyle w:val="TableBodyText"/>
              <w:jc w:val="right"/>
            </w:pPr>
            <w:r w:rsidRPr="00A25F2C">
              <w:t>19.4</w:t>
            </w:r>
          </w:p>
        </w:tc>
        <w:tc>
          <w:tcPr>
            <w:tcW w:w="447" w:type="pct"/>
          </w:tcPr>
          <w:p w14:paraId="5F89A117" w14:textId="77777777" w:rsidR="007F4791" w:rsidRPr="00A25F2C" w:rsidRDefault="007F4791" w:rsidP="00F13D2F">
            <w:pPr>
              <w:pStyle w:val="TableBodyText"/>
              <w:jc w:val="right"/>
            </w:pPr>
            <w:r w:rsidRPr="00A25F2C">
              <w:t>0.0</w:t>
            </w:r>
          </w:p>
        </w:tc>
      </w:tr>
      <w:tr w:rsidR="007F4791" w:rsidRPr="00A25F2C" w14:paraId="62E3780B" w14:textId="77777777" w:rsidTr="00F13D2F">
        <w:tc>
          <w:tcPr>
            <w:tcW w:w="1470" w:type="pct"/>
          </w:tcPr>
          <w:p w14:paraId="1B004025" w14:textId="77777777" w:rsidR="007F4791" w:rsidRPr="00A25F2C" w:rsidRDefault="007F4791" w:rsidP="004E1FA1">
            <w:pPr>
              <w:pStyle w:val="TableBodyText"/>
            </w:pPr>
            <w:r w:rsidRPr="00A25F2C">
              <w:t>Other Revenue</w:t>
            </w:r>
          </w:p>
        </w:tc>
        <w:tc>
          <w:tcPr>
            <w:tcW w:w="588" w:type="pct"/>
          </w:tcPr>
          <w:p w14:paraId="73A99DA3" w14:textId="77777777" w:rsidR="007F4791" w:rsidRPr="00A25F2C" w:rsidRDefault="007F4791" w:rsidP="00F13D2F">
            <w:pPr>
              <w:pStyle w:val="TableBodyText"/>
              <w:jc w:val="right"/>
            </w:pPr>
            <w:r w:rsidRPr="00A25F2C">
              <w:t>4.3</w:t>
            </w:r>
          </w:p>
        </w:tc>
        <w:tc>
          <w:tcPr>
            <w:tcW w:w="609" w:type="pct"/>
          </w:tcPr>
          <w:p w14:paraId="4D115A05" w14:textId="77777777" w:rsidR="007F4791" w:rsidRPr="00A25F2C" w:rsidRDefault="007F4791" w:rsidP="00F13D2F">
            <w:pPr>
              <w:pStyle w:val="TableBodyText"/>
              <w:jc w:val="right"/>
            </w:pPr>
            <w:r w:rsidRPr="00A25F2C">
              <w:t>0.5</w:t>
            </w:r>
          </w:p>
        </w:tc>
        <w:tc>
          <w:tcPr>
            <w:tcW w:w="472" w:type="pct"/>
          </w:tcPr>
          <w:p w14:paraId="2DB7498F" w14:textId="77777777" w:rsidR="007F4791" w:rsidRPr="00A25F2C" w:rsidRDefault="007F4791" w:rsidP="00F13D2F">
            <w:pPr>
              <w:pStyle w:val="TableBodyText"/>
              <w:jc w:val="right"/>
            </w:pPr>
            <w:r w:rsidRPr="00A25F2C">
              <w:t>0.7</w:t>
            </w:r>
          </w:p>
        </w:tc>
        <w:tc>
          <w:tcPr>
            <w:tcW w:w="471" w:type="pct"/>
          </w:tcPr>
          <w:p w14:paraId="6B8DC152" w14:textId="77777777" w:rsidR="007F4791" w:rsidRPr="00A25F2C" w:rsidRDefault="007F4791" w:rsidP="00F13D2F">
            <w:pPr>
              <w:pStyle w:val="TableBodyText"/>
              <w:jc w:val="right"/>
            </w:pPr>
            <w:r w:rsidRPr="00A25F2C">
              <w:t>0.7</w:t>
            </w:r>
          </w:p>
        </w:tc>
        <w:tc>
          <w:tcPr>
            <w:tcW w:w="472" w:type="pct"/>
          </w:tcPr>
          <w:p w14:paraId="383E66D8" w14:textId="77777777" w:rsidR="007F4791" w:rsidRPr="00A25F2C" w:rsidRDefault="007F4791" w:rsidP="00F13D2F">
            <w:pPr>
              <w:pStyle w:val="TableBodyText"/>
              <w:jc w:val="right"/>
            </w:pPr>
            <w:r w:rsidRPr="00A25F2C">
              <w:t>0.7</w:t>
            </w:r>
          </w:p>
        </w:tc>
        <w:tc>
          <w:tcPr>
            <w:tcW w:w="470" w:type="pct"/>
          </w:tcPr>
          <w:p w14:paraId="4CFC3047" w14:textId="77777777" w:rsidR="007F4791" w:rsidRPr="00A25F2C" w:rsidRDefault="007F4791" w:rsidP="00F13D2F">
            <w:pPr>
              <w:pStyle w:val="TableBodyText"/>
              <w:jc w:val="right"/>
            </w:pPr>
            <w:r w:rsidRPr="00A25F2C">
              <w:t>0.8</w:t>
            </w:r>
          </w:p>
        </w:tc>
        <w:tc>
          <w:tcPr>
            <w:tcW w:w="447" w:type="pct"/>
          </w:tcPr>
          <w:p w14:paraId="01D4FC66" w14:textId="77777777" w:rsidR="007F4791" w:rsidRPr="00A25F2C" w:rsidRDefault="007F4791" w:rsidP="00F13D2F">
            <w:pPr>
              <w:pStyle w:val="TableBodyText"/>
              <w:jc w:val="right"/>
            </w:pPr>
            <w:r w:rsidRPr="00A25F2C">
              <w:t>0.8</w:t>
            </w:r>
          </w:p>
        </w:tc>
      </w:tr>
      <w:tr w:rsidR="007F4791" w:rsidRPr="00A25F2C" w14:paraId="4F0965E2" w14:textId="77777777" w:rsidTr="00F13D2F">
        <w:tc>
          <w:tcPr>
            <w:tcW w:w="1470" w:type="pct"/>
          </w:tcPr>
          <w:p w14:paraId="4B813788" w14:textId="77777777" w:rsidR="007F4791" w:rsidRPr="00A25F2C" w:rsidRDefault="007F4791" w:rsidP="004E1FA1">
            <w:pPr>
              <w:pStyle w:val="TableBodyText"/>
            </w:pPr>
            <w:r w:rsidRPr="00A25F2C">
              <w:rPr>
                <w:b/>
              </w:rPr>
              <w:t>Total Operating Revenue</w:t>
            </w:r>
          </w:p>
        </w:tc>
        <w:tc>
          <w:tcPr>
            <w:tcW w:w="588" w:type="pct"/>
          </w:tcPr>
          <w:p w14:paraId="373C3EB7" w14:textId="77777777" w:rsidR="007F4791" w:rsidRPr="00A25F2C" w:rsidRDefault="007F4791" w:rsidP="00F13D2F">
            <w:pPr>
              <w:pStyle w:val="TableBodyText"/>
              <w:jc w:val="right"/>
            </w:pPr>
            <w:r w:rsidRPr="00A25F2C">
              <w:rPr>
                <w:b/>
              </w:rPr>
              <w:t>461.6</w:t>
            </w:r>
          </w:p>
        </w:tc>
        <w:tc>
          <w:tcPr>
            <w:tcW w:w="609" w:type="pct"/>
          </w:tcPr>
          <w:p w14:paraId="1D3EB1F2" w14:textId="77777777" w:rsidR="007F4791" w:rsidRPr="00A25F2C" w:rsidRDefault="007F4791" w:rsidP="00F13D2F">
            <w:pPr>
              <w:pStyle w:val="TableBodyText"/>
              <w:jc w:val="right"/>
            </w:pPr>
            <w:r w:rsidRPr="00A25F2C">
              <w:rPr>
                <w:b/>
              </w:rPr>
              <w:t>441.6</w:t>
            </w:r>
          </w:p>
        </w:tc>
        <w:tc>
          <w:tcPr>
            <w:tcW w:w="472" w:type="pct"/>
          </w:tcPr>
          <w:p w14:paraId="093D64FD" w14:textId="77777777" w:rsidR="007F4791" w:rsidRPr="00A25F2C" w:rsidRDefault="007F4791" w:rsidP="00F13D2F">
            <w:pPr>
              <w:pStyle w:val="TableBodyText"/>
              <w:jc w:val="right"/>
            </w:pPr>
            <w:r w:rsidRPr="00A25F2C">
              <w:rPr>
                <w:b/>
              </w:rPr>
              <w:t>509.0</w:t>
            </w:r>
          </w:p>
        </w:tc>
        <w:tc>
          <w:tcPr>
            <w:tcW w:w="471" w:type="pct"/>
          </w:tcPr>
          <w:p w14:paraId="1357E9BF" w14:textId="77777777" w:rsidR="007F4791" w:rsidRPr="00A25F2C" w:rsidRDefault="007F4791" w:rsidP="00F13D2F">
            <w:pPr>
              <w:pStyle w:val="TableBodyText"/>
              <w:jc w:val="right"/>
            </w:pPr>
            <w:r w:rsidRPr="00A25F2C">
              <w:rPr>
                <w:b/>
              </w:rPr>
              <w:t>538.6</w:t>
            </w:r>
          </w:p>
        </w:tc>
        <w:tc>
          <w:tcPr>
            <w:tcW w:w="472" w:type="pct"/>
          </w:tcPr>
          <w:p w14:paraId="2EAF01D4" w14:textId="77777777" w:rsidR="007F4791" w:rsidRPr="00A25F2C" w:rsidRDefault="007F4791" w:rsidP="00F13D2F">
            <w:pPr>
              <w:pStyle w:val="TableBodyText"/>
              <w:jc w:val="right"/>
            </w:pPr>
            <w:r w:rsidRPr="00A25F2C">
              <w:rPr>
                <w:b/>
              </w:rPr>
              <w:t>562.5</w:t>
            </w:r>
          </w:p>
        </w:tc>
        <w:tc>
          <w:tcPr>
            <w:tcW w:w="470" w:type="pct"/>
          </w:tcPr>
          <w:p w14:paraId="0AE5F9C3" w14:textId="77777777" w:rsidR="007F4791" w:rsidRPr="00A25F2C" w:rsidRDefault="007F4791" w:rsidP="00F13D2F">
            <w:pPr>
              <w:pStyle w:val="TableBodyText"/>
              <w:jc w:val="right"/>
            </w:pPr>
            <w:r w:rsidRPr="00A25F2C">
              <w:rPr>
                <w:b/>
              </w:rPr>
              <w:t>584.3</w:t>
            </w:r>
          </w:p>
        </w:tc>
        <w:tc>
          <w:tcPr>
            <w:tcW w:w="447" w:type="pct"/>
          </w:tcPr>
          <w:p w14:paraId="33AB55DA" w14:textId="77777777" w:rsidR="007F4791" w:rsidRPr="00A25F2C" w:rsidRDefault="007F4791" w:rsidP="00F13D2F">
            <w:pPr>
              <w:pStyle w:val="TableBodyText"/>
              <w:jc w:val="right"/>
              <w:rPr>
                <w:b/>
              </w:rPr>
            </w:pPr>
            <w:r w:rsidRPr="00A25F2C">
              <w:rPr>
                <w:b/>
              </w:rPr>
              <w:t>596.9</w:t>
            </w:r>
          </w:p>
        </w:tc>
      </w:tr>
      <w:tr w:rsidR="007F4791" w:rsidRPr="00A25F2C" w14:paraId="00285E6C" w14:textId="77777777" w:rsidTr="00F13D2F">
        <w:tc>
          <w:tcPr>
            <w:tcW w:w="1470" w:type="pct"/>
          </w:tcPr>
          <w:p w14:paraId="36967933" w14:textId="77777777" w:rsidR="007F4791" w:rsidRPr="00A25F2C" w:rsidRDefault="007F4791" w:rsidP="004E1FA1">
            <w:pPr>
              <w:pStyle w:val="TableBodyText"/>
            </w:pPr>
            <w:r w:rsidRPr="00A25F2C">
              <w:t>Direct Operating Expenses</w:t>
            </w:r>
          </w:p>
        </w:tc>
        <w:tc>
          <w:tcPr>
            <w:tcW w:w="588" w:type="pct"/>
          </w:tcPr>
          <w:p w14:paraId="45B47B29" w14:textId="77777777" w:rsidR="007F4791" w:rsidRPr="00A25F2C" w:rsidRDefault="007F4791" w:rsidP="00F13D2F">
            <w:pPr>
              <w:pStyle w:val="TableBodyText"/>
              <w:jc w:val="right"/>
            </w:pPr>
            <w:r w:rsidRPr="00A25F2C">
              <w:t>124.0</w:t>
            </w:r>
          </w:p>
        </w:tc>
        <w:tc>
          <w:tcPr>
            <w:tcW w:w="609" w:type="pct"/>
          </w:tcPr>
          <w:p w14:paraId="37E5A15F" w14:textId="77777777" w:rsidR="007F4791" w:rsidRPr="00A25F2C" w:rsidRDefault="007F4791" w:rsidP="00F13D2F">
            <w:pPr>
              <w:pStyle w:val="TableBodyText"/>
              <w:jc w:val="right"/>
            </w:pPr>
            <w:r w:rsidRPr="00A25F2C">
              <w:t>131.8</w:t>
            </w:r>
          </w:p>
        </w:tc>
        <w:tc>
          <w:tcPr>
            <w:tcW w:w="472" w:type="pct"/>
          </w:tcPr>
          <w:p w14:paraId="7F6C8C4E" w14:textId="77777777" w:rsidR="007F4791" w:rsidRPr="00A25F2C" w:rsidRDefault="007F4791" w:rsidP="00F13D2F">
            <w:pPr>
              <w:pStyle w:val="TableBodyText"/>
              <w:jc w:val="right"/>
            </w:pPr>
            <w:r w:rsidRPr="00A25F2C">
              <w:t>147.3</w:t>
            </w:r>
          </w:p>
        </w:tc>
        <w:tc>
          <w:tcPr>
            <w:tcW w:w="471" w:type="pct"/>
          </w:tcPr>
          <w:p w14:paraId="024F8187" w14:textId="77777777" w:rsidR="007F4791" w:rsidRPr="00A25F2C" w:rsidRDefault="007F4791" w:rsidP="00F13D2F">
            <w:pPr>
              <w:pStyle w:val="TableBodyText"/>
              <w:jc w:val="right"/>
            </w:pPr>
            <w:r w:rsidRPr="00A25F2C">
              <w:t>163.8</w:t>
            </w:r>
          </w:p>
        </w:tc>
        <w:tc>
          <w:tcPr>
            <w:tcW w:w="472" w:type="pct"/>
          </w:tcPr>
          <w:p w14:paraId="3F28CED1" w14:textId="77777777" w:rsidR="007F4791" w:rsidRPr="00A25F2C" w:rsidRDefault="007F4791" w:rsidP="00F13D2F">
            <w:pPr>
              <w:pStyle w:val="TableBodyText"/>
              <w:jc w:val="right"/>
            </w:pPr>
            <w:r w:rsidRPr="00A25F2C">
              <w:t>162.6</w:t>
            </w:r>
          </w:p>
        </w:tc>
        <w:tc>
          <w:tcPr>
            <w:tcW w:w="470" w:type="pct"/>
          </w:tcPr>
          <w:p w14:paraId="1B92F94E" w14:textId="77777777" w:rsidR="007F4791" w:rsidRPr="00A25F2C" w:rsidRDefault="007F4791" w:rsidP="00F13D2F">
            <w:pPr>
              <w:pStyle w:val="TableBodyText"/>
              <w:jc w:val="right"/>
            </w:pPr>
            <w:r w:rsidRPr="00A25F2C">
              <w:t>154.3</w:t>
            </w:r>
          </w:p>
        </w:tc>
        <w:tc>
          <w:tcPr>
            <w:tcW w:w="447" w:type="pct"/>
          </w:tcPr>
          <w:p w14:paraId="7072D37D" w14:textId="77777777" w:rsidR="007F4791" w:rsidRPr="00A25F2C" w:rsidRDefault="007F4791" w:rsidP="00F13D2F">
            <w:pPr>
              <w:pStyle w:val="TableBodyText"/>
              <w:jc w:val="right"/>
            </w:pPr>
            <w:r w:rsidRPr="00A25F2C">
              <w:t>159.0</w:t>
            </w:r>
          </w:p>
        </w:tc>
      </w:tr>
      <w:tr w:rsidR="007F4791" w:rsidRPr="00A25F2C" w14:paraId="654DB642" w14:textId="77777777" w:rsidTr="00F13D2F">
        <w:tc>
          <w:tcPr>
            <w:tcW w:w="1470" w:type="pct"/>
          </w:tcPr>
          <w:p w14:paraId="27BAFA07" w14:textId="77777777" w:rsidR="007F4791" w:rsidRPr="00A25F2C" w:rsidRDefault="007F4791" w:rsidP="004E1FA1">
            <w:pPr>
              <w:pStyle w:val="TableBodyText"/>
            </w:pPr>
            <w:r w:rsidRPr="00A25F2C">
              <w:t>Depreciation</w:t>
            </w:r>
          </w:p>
        </w:tc>
        <w:tc>
          <w:tcPr>
            <w:tcW w:w="588" w:type="pct"/>
          </w:tcPr>
          <w:p w14:paraId="4B169923" w14:textId="77777777" w:rsidR="007F4791" w:rsidRPr="00A25F2C" w:rsidRDefault="007F4791" w:rsidP="00F13D2F">
            <w:pPr>
              <w:pStyle w:val="TableBodyText"/>
              <w:jc w:val="right"/>
            </w:pPr>
            <w:r w:rsidRPr="00A25F2C">
              <w:t>153.2</w:t>
            </w:r>
          </w:p>
        </w:tc>
        <w:tc>
          <w:tcPr>
            <w:tcW w:w="609" w:type="pct"/>
          </w:tcPr>
          <w:p w14:paraId="3CFDBD97" w14:textId="77777777" w:rsidR="007F4791" w:rsidRPr="00A25F2C" w:rsidRDefault="007F4791" w:rsidP="00F13D2F">
            <w:pPr>
              <w:pStyle w:val="TableBodyText"/>
              <w:jc w:val="right"/>
            </w:pPr>
            <w:r w:rsidRPr="00A25F2C">
              <w:t>138.6</w:t>
            </w:r>
          </w:p>
        </w:tc>
        <w:tc>
          <w:tcPr>
            <w:tcW w:w="472" w:type="pct"/>
          </w:tcPr>
          <w:p w14:paraId="6D5F1694" w14:textId="77777777" w:rsidR="007F4791" w:rsidRPr="00A25F2C" w:rsidRDefault="007F4791" w:rsidP="00F13D2F">
            <w:pPr>
              <w:pStyle w:val="TableBodyText"/>
              <w:jc w:val="right"/>
            </w:pPr>
            <w:r w:rsidRPr="00A25F2C">
              <w:t>151.5</w:t>
            </w:r>
          </w:p>
        </w:tc>
        <w:tc>
          <w:tcPr>
            <w:tcW w:w="471" w:type="pct"/>
          </w:tcPr>
          <w:p w14:paraId="73F22BF7" w14:textId="77777777" w:rsidR="007F4791" w:rsidRPr="00A25F2C" w:rsidRDefault="007F4791" w:rsidP="00F13D2F">
            <w:pPr>
              <w:pStyle w:val="TableBodyText"/>
              <w:jc w:val="right"/>
            </w:pPr>
            <w:r w:rsidRPr="00A25F2C">
              <w:t>167.4</w:t>
            </w:r>
          </w:p>
        </w:tc>
        <w:tc>
          <w:tcPr>
            <w:tcW w:w="472" w:type="pct"/>
          </w:tcPr>
          <w:p w14:paraId="2C8D9AD8" w14:textId="77777777" w:rsidR="007F4791" w:rsidRPr="00A25F2C" w:rsidRDefault="007F4791" w:rsidP="00F13D2F">
            <w:pPr>
              <w:pStyle w:val="TableBodyText"/>
              <w:jc w:val="right"/>
            </w:pPr>
            <w:r w:rsidRPr="00A25F2C">
              <w:t>174.7</w:t>
            </w:r>
          </w:p>
        </w:tc>
        <w:tc>
          <w:tcPr>
            <w:tcW w:w="470" w:type="pct"/>
          </w:tcPr>
          <w:p w14:paraId="4F7A0A8A" w14:textId="77777777" w:rsidR="007F4791" w:rsidRPr="00A25F2C" w:rsidRDefault="007F4791" w:rsidP="00F13D2F">
            <w:pPr>
              <w:pStyle w:val="TableBodyText"/>
              <w:jc w:val="right"/>
            </w:pPr>
            <w:r w:rsidRPr="00A25F2C">
              <w:t>184.6</w:t>
            </w:r>
          </w:p>
        </w:tc>
        <w:tc>
          <w:tcPr>
            <w:tcW w:w="447" w:type="pct"/>
          </w:tcPr>
          <w:p w14:paraId="17F32135" w14:textId="77777777" w:rsidR="007F4791" w:rsidRPr="00A25F2C" w:rsidRDefault="007F4791" w:rsidP="00F13D2F">
            <w:pPr>
              <w:pStyle w:val="TableBodyText"/>
              <w:jc w:val="right"/>
            </w:pPr>
            <w:r w:rsidRPr="00A25F2C">
              <w:t>199.8</w:t>
            </w:r>
          </w:p>
        </w:tc>
      </w:tr>
      <w:tr w:rsidR="007F4791" w:rsidRPr="00A25F2C" w14:paraId="7BAECF45" w14:textId="77777777" w:rsidTr="00F13D2F">
        <w:tc>
          <w:tcPr>
            <w:tcW w:w="1470" w:type="pct"/>
          </w:tcPr>
          <w:p w14:paraId="7155F12B" w14:textId="77777777" w:rsidR="007F4791" w:rsidRPr="00A25F2C" w:rsidRDefault="007F4791" w:rsidP="004E1FA1">
            <w:pPr>
              <w:pStyle w:val="TableBodyText"/>
            </w:pPr>
            <w:r w:rsidRPr="00A25F2C">
              <w:t>Works in Progress / Asset Write-off</w:t>
            </w:r>
          </w:p>
        </w:tc>
        <w:tc>
          <w:tcPr>
            <w:tcW w:w="588" w:type="pct"/>
          </w:tcPr>
          <w:p w14:paraId="0911EDBE" w14:textId="77777777" w:rsidR="007F4791" w:rsidRPr="00A25F2C" w:rsidRDefault="007F4791" w:rsidP="00F13D2F">
            <w:pPr>
              <w:pStyle w:val="TableBodyText"/>
              <w:jc w:val="right"/>
            </w:pPr>
            <w:r w:rsidRPr="00A25F2C">
              <w:t>0.4</w:t>
            </w:r>
          </w:p>
        </w:tc>
        <w:tc>
          <w:tcPr>
            <w:tcW w:w="609" w:type="pct"/>
          </w:tcPr>
          <w:p w14:paraId="0FDA53E4" w14:textId="77777777" w:rsidR="007F4791" w:rsidRPr="00A25F2C" w:rsidRDefault="007F4791" w:rsidP="00F13D2F">
            <w:pPr>
              <w:pStyle w:val="TableBodyText"/>
              <w:jc w:val="right"/>
            </w:pPr>
            <w:r w:rsidRPr="00A25F2C">
              <w:t>0.4</w:t>
            </w:r>
          </w:p>
        </w:tc>
        <w:tc>
          <w:tcPr>
            <w:tcW w:w="472" w:type="pct"/>
          </w:tcPr>
          <w:p w14:paraId="45D0F857" w14:textId="77777777" w:rsidR="007F4791" w:rsidRPr="00A25F2C" w:rsidRDefault="007F4791" w:rsidP="00F13D2F">
            <w:pPr>
              <w:pStyle w:val="TableBodyText"/>
              <w:jc w:val="right"/>
            </w:pPr>
            <w:r w:rsidRPr="00A25F2C">
              <w:t>0.4</w:t>
            </w:r>
          </w:p>
        </w:tc>
        <w:tc>
          <w:tcPr>
            <w:tcW w:w="471" w:type="pct"/>
          </w:tcPr>
          <w:p w14:paraId="7CD40961" w14:textId="77777777" w:rsidR="007F4791" w:rsidRPr="00A25F2C" w:rsidRDefault="007F4791" w:rsidP="00F13D2F">
            <w:pPr>
              <w:pStyle w:val="TableBodyText"/>
              <w:jc w:val="right"/>
            </w:pPr>
            <w:r w:rsidRPr="00A25F2C">
              <w:t>0.4</w:t>
            </w:r>
          </w:p>
        </w:tc>
        <w:tc>
          <w:tcPr>
            <w:tcW w:w="472" w:type="pct"/>
          </w:tcPr>
          <w:p w14:paraId="6D78BE07" w14:textId="77777777" w:rsidR="007F4791" w:rsidRPr="00A25F2C" w:rsidRDefault="007F4791" w:rsidP="00F13D2F">
            <w:pPr>
              <w:pStyle w:val="TableBodyText"/>
              <w:jc w:val="right"/>
            </w:pPr>
            <w:r w:rsidRPr="00A25F2C">
              <w:t>0.4</w:t>
            </w:r>
          </w:p>
        </w:tc>
        <w:tc>
          <w:tcPr>
            <w:tcW w:w="470" w:type="pct"/>
          </w:tcPr>
          <w:p w14:paraId="4C1F130B" w14:textId="77777777" w:rsidR="007F4791" w:rsidRPr="00A25F2C" w:rsidRDefault="007F4791" w:rsidP="00F13D2F">
            <w:pPr>
              <w:pStyle w:val="TableBodyText"/>
              <w:jc w:val="right"/>
            </w:pPr>
            <w:r w:rsidRPr="00A25F2C">
              <w:t>0.4</w:t>
            </w:r>
          </w:p>
        </w:tc>
        <w:tc>
          <w:tcPr>
            <w:tcW w:w="447" w:type="pct"/>
          </w:tcPr>
          <w:p w14:paraId="5F2A7A9D" w14:textId="77777777" w:rsidR="007F4791" w:rsidRPr="00A25F2C" w:rsidRDefault="007F4791" w:rsidP="00F13D2F">
            <w:pPr>
              <w:pStyle w:val="TableBodyText"/>
              <w:jc w:val="right"/>
            </w:pPr>
            <w:r w:rsidRPr="00A25F2C">
              <w:t>0.4</w:t>
            </w:r>
          </w:p>
        </w:tc>
      </w:tr>
      <w:tr w:rsidR="007F4791" w:rsidRPr="00A25F2C" w14:paraId="64192183" w14:textId="77777777" w:rsidTr="00F13D2F">
        <w:tc>
          <w:tcPr>
            <w:tcW w:w="1470" w:type="pct"/>
          </w:tcPr>
          <w:p w14:paraId="7C527C07" w14:textId="77777777" w:rsidR="007F4791" w:rsidRPr="00A25F2C" w:rsidRDefault="007F4791" w:rsidP="004E1FA1">
            <w:pPr>
              <w:pStyle w:val="TableBodyText"/>
            </w:pPr>
            <w:r w:rsidRPr="00A25F2C">
              <w:rPr>
                <w:b/>
              </w:rPr>
              <w:t>EBIT</w:t>
            </w:r>
          </w:p>
        </w:tc>
        <w:tc>
          <w:tcPr>
            <w:tcW w:w="588" w:type="pct"/>
          </w:tcPr>
          <w:p w14:paraId="036D2364" w14:textId="77777777" w:rsidR="007F4791" w:rsidRPr="00A25F2C" w:rsidRDefault="007F4791" w:rsidP="00F13D2F">
            <w:pPr>
              <w:pStyle w:val="TableBodyText"/>
              <w:jc w:val="right"/>
            </w:pPr>
            <w:r w:rsidRPr="00A25F2C">
              <w:rPr>
                <w:b/>
              </w:rPr>
              <w:t>184.0</w:t>
            </w:r>
          </w:p>
        </w:tc>
        <w:tc>
          <w:tcPr>
            <w:tcW w:w="609" w:type="pct"/>
          </w:tcPr>
          <w:p w14:paraId="0CF356C6" w14:textId="77777777" w:rsidR="007F4791" w:rsidRPr="00A25F2C" w:rsidRDefault="007F4791" w:rsidP="00F13D2F">
            <w:pPr>
              <w:pStyle w:val="TableBodyText"/>
              <w:jc w:val="right"/>
            </w:pPr>
            <w:r w:rsidRPr="00A25F2C">
              <w:rPr>
                <w:b/>
              </w:rPr>
              <w:t>170.8</w:t>
            </w:r>
          </w:p>
        </w:tc>
        <w:tc>
          <w:tcPr>
            <w:tcW w:w="472" w:type="pct"/>
          </w:tcPr>
          <w:p w14:paraId="6E549A2E" w14:textId="77777777" w:rsidR="007F4791" w:rsidRPr="00A25F2C" w:rsidRDefault="007F4791" w:rsidP="00F13D2F">
            <w:pPr>
              <w:pStyle w:val="TableBodyText"/>
              <w:jc w:val="right"/>
            </w:pPr>
            <w:r w:rsidRPr="00A25F2C">
              <w:rPr>
                <w:b/>
              </w:rPr>
              <w:t>209.7</w:t>
            </w:r>
          </w:p>
        </w:tc>
        <w:tc>
          <w:tcPr>
            <w:tcW w:w="471" w:type="pct"/>
          </w:tcPr>
          <w:p w14:paraId="3EABD604" w14:textId="77777777" w:rsidR="007F4791" w:rsidRPr="00A25F2C" w:rsidRDefault="007F4791" w:rsidP="00F13D2F">
            <w:pPr>
              <w:pStyle w:val="TableBodyText"/>
              <w:jc w:val="right"/>
            </w:pPr>
            <w:r w:rsidRPr="00A25F2C">
              <w:rPr>
                <w:b/>
              </w:rPr>
              <w:t>207.0</w:t>
            </w:r>
          </w:p>
        </w:tc>
        <w:tc>
          <w:tcPr>
            <w:tcW w:w="472" w:type="pct"/>
          </w:tcPr>
          <w:p w14:paraId="613E224E" w14:textId="77777777" w:rsidR="007F4791" w:rsidRPr="00A25F2C" w:rsidRDefault="007F4791" w:rsidP="00F13D2F">
            <w:pPr>
              <w:pStyle w:val="TableBodyText"/>
              <w:jc w:val="right"/>
            </w:pPr>
            <w:r w:rsidRPr="00A25F2C">
              <w:rPr>
                <w:b/>
              </w:rPr>
              <w:t>224.8</w:t>
            </w:r>
          </w:p>
        </w:tc>
        <w:tc>
          <w:tcPr>
            <w:tcW w:w="470" w:type="pct"/>
          </w:tcPr>
          <w:p w14:paraId="27B6F5C9" w14:textId="77777777" w:rsidR="007F4791" w:rsidRPr="00A25F2C" w:rsidRDefault="007F4791" w:rsidP="00F13D2F">
            <w:pPr>
              <w:pStyle w:val="TableBodyText"/>
              <w:jc w:val="right"/>
            </w:pPr>
            <w:r w:rsidRPr="00A25F2C">
              <w:rPr>
                <w:b/>
              </w:rPr>
              <w:t>245.0</w:t>
            </w:r>
          </w:p>
        </w:tc>
        <w:tc>
          <w:tcPr>
            <w:tcW w:w="447" w:type="pct"/>
          </w:tcPr>
          <w:p w14:paraId="30FFE5A1" w14:textId="77777777" w:rsidR="007F4791" w:rsidRPr="00A25F2C" w:rsidRDefault="007F4791" w:rsidP="00F13D2F">
            <w:pPr>
              <w:pStyle w:val="TableBodyText"/>
              <w:jc w:val="right"/>
              <w:rPr>
                <w:b/>
              </w:rPr>
            </w:pPr>
            <w:r w:rsidRPr="00A25F2C">
              <w:rPr>
                <w:b/>
              </w:rPr>
              <w:t>237.7</w:t>
            </w:r>
          </w:p>
        </w:tc>
      </w:tr>
    </w:tbl>
    <w:p w14:paraId="0C3204C1" w14:textId="5708BED6" w:rsidR="00143D6B" w:rsidRDefault="007F4791" w:rsidP="007F4791">
      <w:pPr>
        <w:pStyle w:val="BodyText"/>
      </w:pPr>
      <w:r w:rsidRPr="00A25F2C">
        <w:t>All tables subject to rounding</w:t>
      </w:r>
      <w:r w:rsidR="0086694E">
        <w:t>.</w:t>
      </w:r>
    </w:p>
    <w:p w14:paraId="098144F1" w14:textId="554D4A81" w:rsidR="007F4791" w:rsidRPr="00A25F2C" w:rsidRDefault="0086694E" w:rsidP="0086694E">
      <w:pPr>
        <w:pStyle w:val="Caption"/>
      </w:pPr>
      <w:r w:rsidRPr="0086694E">
        <w:lastRenderedPageBreak/>
        <w:t>Table E18 – EBIT by Service – Sewerage</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22B85F95"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3F3E8507" w14:textId="4B1FC1AC" w:rsidR="007F4791" w:rsidRPr="00A25F2C" w:rsidRDefault="007F4791" w:rsidP="004E1FA1">
            <w:pPr>
              <w:pStyle w:val="TableBodyText"/>
            </w:pPr>
            <w:r w:rsidRPr="00A25F2C">
              <w:t xml:space="preserve">Nominal </w:t>
            </w:r>
            <w:r w:rsidR="00E65500">
              <w:t>$ million</w:t>
            </w:r>
          </w:p>
        </w:tc>
        <w:tc>
          <w:tcPr>
            <w:tcW w:w="588" w:type="pct"/>
          </w:tcPr>
          <w:p w14:paraId="5C822F37" w14:textId="77777777" w:rsidR="007F4791" w:rsidRPr="00A25F2C" w:rsidRDefault="007F4791" w:rsidP="00F13D2F">
            <w:pPr>
              <w:pStyle w:val="TableBodyText"/>
              <w:jc w:val="right"/>
            </w:pPr>
            <w:r w:rsidRPr="00A25F2C">
              <w:t>2022-23</w:t>
            </w:r>
          </w:p>
          <w:p w14:paraId="095A2A60" w14:textId="77777777" w:rsidR="007F4791" w:rsidRPr="00A25F2C" w:rsidRDefault="007F4791" w:rsidP="00F13D2F">
            <w:pPr>
              <w:pStyle w:val="TableBodyText"/>
              <w:jc w:val="right"/>
            </w:pPr>
            <w:r w:rsidRPr="00A25F2C">
              <w:t>FCT</w:t>
            </w:r>
          </w:p>
        </w:tc>
        <w:tc>
          <w:tcPr>
            <w:tcW w:w="609" w:type="pct"/>
          </w:tcPr>
          <w:p w14:paraId="63184CBC" w14:textId="77777777" w:rsidR="007F4791" w:rsidRPr="00A25F2C" w:rsidRDefault="007F4791" w:rsidP="00F13D2F">
            <w:pPr>
              <w:pStyle w:val="TableBodyText"/>
              <w:jc w:val="right"/>
            </w:pPr>
            <w:r w:rsidRPr="00A25F2C">
              <w:t>2022-23</w:t>
            </w:r>
          </w:p>
          <w:p w14:paraId="3644BA6A" w14:textId="77777777" w:rsidR="007F4791" w:rsidRPr="00A25F2C" w:rsidRDefault="007F4791" w:rsidP="00F13D2F">
            <w:pPr>
              <w:pStyle w:val="TableBodyText"/>
              <w:jc w:val="right"/>
            </w:pPr>
            <w:r w:rsidRPr="00A25F2C">
              <w:t>PLAN</w:t>
            </w:r>
          </w:p>
        </w:tc>
        <w:tc>
          <w:tcPr>
            <w:tcW w:w="472" w:type="pct"/>
          </w:tcPr>
          <w:p w14:paraId="05B0407D" w14:textId="77777777" w:rsidR="007F4791" w:rsidRPr="00A25F2C" w:rsidRDefault="007F4791" w:rsidP="00F13D2F">
            <w:pPr>
              <w:pStyle w:val="TableBodyText"/>
              <w:jc w:val="right"/>
            </w:pPr>
            <w:r w:rsidRPr="00A25F2C">
              <w:t>2023-24</w:t>
            </w:r>
          </w:p>
        </w:tc>
        <w:tc>
          <w:tcPr>
            <w:tcW w:w="471" w:type="pct"/>
          </w:tcPr>
          <w:p w14:paraId="55A6B5EE" w14:textId="77777777" w:rsidR="007F4791" w:rsidRPr="00A25F2C" w:rsidRDefault="007F4791" w:rsidP="00F13D2F">
            <w:pPr>
              <w:pStyle w:val="TableBodyText"/>
              <w:jc w:val="right"/>
            </w:pPr>
            <w:r w:rsidRPr="00A25F2C">
              <w:t>2024-25</w:t>
            </w:r>
          </w:p>
        </w:tc>
        <w:tc>
          <w:tcPr>
            <w:tcW w:w="472" w:type="pct"/>
          </w:tcPr>
          <w:p w14:paraId="779E3FFA" w14:textId="77777777" w:rsidR="007F4791" w:rsidRPr="00A25F2C" w:rsidRDefault="007F4791" w:rsidP="00F13D2F">
            <w:pPr>
              <w:pStyle w:val="TableBodyText"/>
              <w:jc w:val="right"/>
            </w:pPr>
            <w:r w:rsidRPr="00A25F2C">
              <w:t>2025-26</w:t>
            </w:r>
          </w:p>
        </w:tc>
        <w:tc>
          <w:tcPr>
            <w:tcW w:w="470" w:type="pct"/>
          </w:tcPr>
          <w:p w14:paraId="0D0955D4" w14:textId="77777777" w:rsidR="007F4791" w:rsidRPr="00A25F2C" w:rsidRDefault="007F4791" w:rsidP="00F13D2F">
            <w:pPr>
              <w:pStyle w:val="TableBodyText"/>
              <w:jc w:val="right"/>
            </w:pPr>
            <w:r w:rsidRPr="00A25F2C">
              <w:t>2026-27</w:t>
            </w:r>
          </w:p>
        </w:tc>
        <w:tc>
          <w:tcPr>
            <w:tcW w:w="447" w:type="pct"/>
          </w:tcPr>
          <w:p w14:paraId="3A2E712B" w14:textId="77777777" w:rsidR="007F4791" w:rsidRPr="00A25F2C" w:rsidRDefault="007F4791" w:rsidP="00F13D2F">
            <w:pPr>
              <w:pStyle w:val="TableBodyText"/>
              <w:jc w:val="right"/>
            </w:pPr>
            <w:r w:rsidRPr="00A25F2C">
              <w:t>2027-28</w:t>
            </w:r>
          </w:p>
        </w:tc>
      </w:tr>
      <w:tr w:rsidR="007F4791" w:rsidRPr="00A25F2C" w14:paraId="1FCF1A83" w14:textId="77777777" w:rsidTr="00F13D2F">
        <w:tc>
          <w:tcPr>
            <w:tcW w:w="1470" w:type="pct"/>
          </w:tcPr>
          <w:p w14:paraId="16378C42" w14:textId="77777777" w:rsidR="007F4791" w:rsidRPr="00A25F2C" w:rsidRDefault="007F4791" w:rsidP="004E1FA1">
            <w:pPr>
              <w:pStyle w:val="TableBodyText"/>
            </w:pPr>
            <w:r w:rsidRPr="00A25F2C">
              <w:t>Waterways Charges</w:t>
            </w:r>
          </w:p>
        </w:tc>
        <w:tc>
          <w:tcPr>
            <w:tcW w:w="588" w:type="pct"/>
          </w:tcPr>
          <w:p w14:paraId="6C0C6B22" w14:textId="77777777" w:rsidR="007F4791" w:rsidRPr="00A25F2C" w:rsidRDefault="007F4791" w:rsidP="00F13D2F">
            <w:pPr>
              <w:pStyle w:val="TableBodyText"/>
              <w:jc w:val="right"/>
            </w:pPr>
            <w:r w:rsidRPr="00A25F2C">
              <w:t>289.0</w:t>
            </w:r>
          </w:p>
        </w:tc>
        <w:tc>
          <w:tcPr>
            <w:tcW w:w="609" w:type="pct"/>
          </w:tcPr>
          <w:p w14:paraId="3376E92B" w14:textId="77777777" w:rsidR="007F4791" w:rsidRPr="00A25F2C" w:rsidRDefault="007F4791" w:rsidP="00F13D2F">
            <w:pPr>
              <w:pStyle w:val="TableBodyText"/>
              <w:jc w:val="right"/>
            </w:pPr>
            <w:r w:rsidRPr="00A25F2C">
              <w:t>276.0</w:t>
            </w:r>
          </w:p>
        </w:tc>
        <w:tc>
          <w:tcPr>
            <w:tcW w:w="472" w:type="pct"/>
          </w:tcPr>
          <w:p w14:paraId="73DBED29" w14:textId="77777777" w:rsidR="007F4791" w:rsidRPr="00A25F2C" w:rsidRDefault="007F4791" w:rsidP="00F13D2F">
            <w:pPr>
              <w:pStyle w:val="TableBodyText"/>
              <w:jc w:val="right"/>
            </w:pPr>
            <w:r w:rsidRPr="00A25F2C">
              <w:t>323.0</w:t>
            </w:r>
          </w:p>
        </w:tc>
        <w:tc>
          <w:tcPr>
            <w:tcW w:w="471" w:type="pct"/>
          </w:tcPr>
          <w:p w14:paraId="5726363A" w14:textId="77777777" w:rsidR="007F4791" w:rsidRPr="00A25F2C" w:rsidRDefault="007F4791" w:rsidP="00F13D2F">
            <w:pPr>
              <w:pStyle w:val="TableBodyText"/>
              <w:jc w:val="right"/>
            </w:pPr>
            <w:r w:rsidRPr="00A25F2C">
              <w:t>340.1</w:t>
            </w:r>
          </w:p>
        </w:tc>
        <w:tc>
          <w:tcPr>
            <w:tcW w:w="472" w:type="pct"/>
          </w:tcPr>
          <w:p w14:paraId="6FFB447B" w14:textId="77777777" w:rsidR="007F4791" w:rsidRPr="00A25F2C" w:rsidRDefault="007F4791" w:rsidP="00F13D2F">
            <w:pPr>
              <w:pStyle w:val="TableBodyText"/>
              <w:jc w:val="right"/>
            </w:pPr>
            <w:r w:rsidRPr="00A25F2C">
              <w:t>357.1</w:t>
            </w:r>
          </w:p>
        </w:tc>
        <w:tc>
          <w:tcPr>
            <w:tcW w:w="470" w:type="pct"/>
          </w:tcPr>
          <w:p w14:paraId="157F14BA" w14:textId="77777777" w:rsidR="007F4791" w:rsidRPr="00A25F2C" w:rsidRDefault="007F4791" w:rsidP="00F13D2F">
            <w:pPr>
              <w:pStyle w:val="TableBodyText"/>
              <w:jc w:val="right"/>
            </w:pPr>
            <w:r w:rsidRPr="00A25F2C">
              <w:t>385.4</w:t>
            </w:r>
          </w:p>
        </w:tc>
        <w:tc>
          <w:tcPr>
            <w:tcW w:w="447" w:type="pct"/>
          </w:tcPr>
          <w:p w14:paraId="474AE8BB" w14:textId="77777777" w:rsidR="007F4791" w:rsidRPr="00A25F2C" w:rsidRDefault="007F4791" w:rsidP="00F13D2F">
            <w:pPr>
              <w:pStyle w:val="TableBodyText"/>
              <w:jc w:val="right"/>
            </w:pPr>
            <w:r w:rsidRPr="00A25F2C">
              <w:t>402.0</w:t>
            </w:r>
          </w:p>
        </w:tc>
      </w:tr>
      <w:tr w:rsidR="007F4791" w:rsidRPr="00A25F2C" w14:paraId="0AEED015" w14:textId="77777777" w:rsidTr="00F13D2F">
        <w:tc>
          <w:tcPr>
            <w:tcW w:w="1470" w:type="pct"/>
          </w:tcPr>
          <w:p w14:paraId="6738DF7D" w14:textId="77777777" w:rsidR="007F4791" w:rsidRPr="00A25F2C" w:rsidRDefault="007F4791" w:rsidP="004E1FA1">
            <w:pPr>
              <w:pStyle w:val="TableBodyText"/>
            </w:pPr>
            <w:r w:rsidRPr="00A25F2C">
              <w:t>Developer Contributions</w:t>
            </w:r>
          </w:p>
        </w:tc>
        <w:tc>
          <w:tcPr>
            <w:tcW w:w="588" w:type="pct"/>
          </w:tcPr>
          <w:p w14:paraId="0BE2BEB1" w14:textId="77777777" w:rsidR="007F4791" w:rsidRPr="00A25F2C" w:rsidRDefault="007F4791" w:rsidP="00F13D2F">
            <w:pPr>
              <w:pStyle w:val="TableBodyText"/>
              <w:jc w:val="right"/>
            </w:pPr>
            <w:r w:rsidRPr="00A25F2C">
              <w:t>171.0</w:t>
            </w:r>
          </w:p>
        </w:tc>
        <w:tc>
          <w:tcPr>
            <w:tcW w:w="609" w:type="pct"/>
          </w:tcPr>
          <w:p w14:paraId="14BA3E95" w14:textId="77777777" w:rsidR="007F4791" w:rsidRPr="00A25F2C" w:rsidRDefault="007F4791" w:rsidP="00F13D2F">
            <w:pPr>
              <w:pStyle w:val="TableBodyText"/>
              <w:jc w:val="right"/>
            </w:pPr>
            <w:r w:rsidRPr="00A25F2C">
              <w:t>170.0</w:t>
            </w:r>
          </w:p>
        </w:tc>
        <w:tc>
          <w:tcPr>
            <w:tcW w:w="472" w:type="pct"/>
          </w:tcPr>
          <w:p w14:paraId="47FF8909" w14:textId="77777777" w:rsidR="007F4791" w:rsidRPr="00A25F2C" w:rsidRDefault="007F4791" w:rsidP="00F13D2F">
            <w:pPr>
              <w:pStyle w:val="TableBodyText"/>
              <w:jc w:val="right"/>
            </w:pPr>
            <w:r w:rsidRPr="00A25F2C">
              <w:t>183.0</w:t>
            </w:r>
          </w:p>
        </w:tc>
        <w:tc>
          <w:tcPr>
            <w:tcW w:w="471" w:type="pct"/>
          </w:tcPr>
          <w:p w14:paraId="3138ECDF" w14:textId="77777777" w:rsidR="007F4791" w:rsidRPr="00A25F2C" w:rsidRDefault="007F4791" w:rsidP="00F13D2F">
            <w:pPr>
              <w:pStyle w:val="TableBodyText"/>
              <w:jc w:val="right"/>
            </w:pPr>
            <w:r w:rsidRPr="00A25F2C">
              <w:t>180.0</w:t>
            </w:r>
          </w:p>
        </w:tc>
        <w:tc>
          <w:tcPr>
            <w:tcW w:w="472" w:type="pct"/>
          </w:tcPr>
          <w:p w14:paraId="6FE3EF3D" w14:textId="77777777" w:rsidR="007F4791" w:rsidRPr="00A25F2C" w:rsidRDefault="007F4791" w:rsidP="00F13D2F">
            <w:pPr>
              <w:pStyle w:val="TableBodyText"/>
              <w:jc w:val="right"/>
            </w:pPr>
            <w:r w:rsidRPr="00A25F2C">
              <w:t>200.0</w:t>
            </w:r>
          </w:p>
        </w:tc>
        <w:tc>
          <w:tcPr>
            <w:tcW w:w="470" w:type="pct"/>
          </w:tcPr>
          <w:p w14:paraId="165DFB43" w14:textId="77777777" w:rsidR="007F4791" w:rsidRPr="00A25F2C" w:rsidRDefault="007F4791" w:rsidP="00F13D2F">
            <w:pPr>
              <w:pStyle w:val="TableBodyText"/>
              <w:jc w:val="right"/>
            </w:pPr>
            <w:r w:rsidRPr="00A25F2C">
              <w:t>200.0</w:t>
            </w:r>
          </w:p>
        </w:tc>
        <w:tc>
          <w:tcPr>
            <w:tcW w:w="447" w:type="pct"/>
          </w:tcPr>
          <w:p w14:paraId="2E7CF5CF" w14:textId="77777777" w:rsidR="007F4791" w:rsidRPr="00A25F2C" w:rsidRDefault="007F4791" w:rsidP="00F13D2F">
            <w:pPr>
              <w:pStyle w:val="TableBodyText"/>
              <w:jc w:val="right"/>
            </w:pPr>
            <w:r w:rsidRPr="00A25F2C">
              <w:t>200.0</w:t>
            </w:r>
          </w:p>
        </w:tc>
      </w:tr>
      <w:tr w:rsidR="007F4791" w:rsidRPr="00A25F2C" w14:paraId="65D4884B" w14:textId="77777777" w:rsidTr="00F13D2F">
        <w:tc>
          <w:tcPr>
            <w:tcW w:w="1470" w:type="pct"/>
          </w:tcPr>
          <w:p w14:paraId="06B16CDB" w14:textId="77777777" w:rsidR="007F4791" w:rsidRPr="00A25F2C" w:rsidRDefault="007F4791" w:rsidP="004E1FA1">
            <w:pPr>
              <w:pStyle w:val="TableBodyText"/>
            </w:pPr>
            <w:r w:rsidRPr="00A25F2C">
              <w:t>Developer Contributed Assets</w:t>
            </w:r>
          </w:p>
        </w:tc>
        <w:tc>
          <w:tcPr>
            <w:tcW w:w="588" w:type="pct"/>
          </w:tcPr>
          <w:p w14:paraId="5FA9BC03" w14:textId="77777777" w:rsidR="007F4791" w:rsidRPr="00A25F2C" w:rsidRDefault="007F4791" w:rsidP="00F13D2F">
            <w:pPr>
              <w:pStyle w:val="TableBodyText"/>
              <w:jc w:val="right"/>
            </w:pPr>
            <w:r w:rsidRPr="00A25F2C">
              <w:t>19.3</w:t>
            </w:r>
          </w:p>
        </w:tc>
        <w:tc>
          <w:tcPr>
            <w:tcW w:w="609" w:type="pct"/>
          </w:tcPr>
          <w:p w14:paraId="0D9EB09C" w14:textId="77777777" w:rsidR="007F4791" w:rsidRPr="00A25F2C" w:rsidRDefault="007F4791" w:rsidP="00F13D2F">
            <w:pPr>
              <w:pStyle w:val="TableBodyText"/>
              <w:jc w:val="right"/>
            </w:pPr>
            <w:r w:rsidRPr="00A25F2C">
              <w:t>37.0</w:t>
            </w:r>
          </w:p>
        </w:tc>
        <w:tc>
          <w:tcPr>
            <w:tcW w:w="472" w:type="pct"/>
          </w:tcPr>
          <w:p w14:paraId="1BEA0B45" w14:textId="77777777" w:rsidR="007F4791" w:rsidRPr="00A25F2C" w:rsidRDefault="007F4791" w:rsidP="00F13D2F">
            <w:pPr>
              <w:pStyle w:val="TableBodyText"/>
              <w:jc w:val="right"/>
            </w:pPr>
            <w:r w:rsidRPr="00A25F2C">
              <w:t>37.0</w:t>
            </w:r>
          </w:p>
        </w:tc>
        <w:tc>
          <w:tcPr>
            <w:tcW w:w="471" w:type="pct"/>
          </w:tcPr>
          <w:p w14:paraId="7CBF0B30" w14:textId="77777777" w:rsidR="007F4791" w:rsidRPr="00A25F2C" w:rsidRDefault="007F4791" w:rsidP="00F13D2F">
            <w:pPr>
              <w:pStyle w:val="TableBodyText"/>
              <w:jc w:val="right"/>
            </w:pPr>
            <w:r w:rsidRPr="00A25F2C">
              <w:t>37.0</w:t>
            </w:r>
          </w:p>
        </w:tc>
        <w:tc>
          <w:tcPr>
            <w:tcW w:w="472" w:type="pct"/>
          </w:tcPr>
          <w:p w14:paraId="481D2853" w14:textId="77777777" w:rsidR="007F4791" w:rsidRPr="00A25F2C" w:rsidRDefault="007F4791" w:rsidP="00F13D2F">
            <w:pPr>
              <w:pStyle w:val="TableBodyText"/>
              <w:jc w:val="right"/>
            </w:pPr>
            <w:r w:rsidRPr="00A25F2C">
              <w:t>37.0</w:t>
            </w:r>
          </w:p>
        </w:tc>
        <w:tc>
          <w:tcPr>
            <w:tcW w:w="470" w:type="pct"/>
          </w:tcPr>
          <w:p w14:paraId="21A0C39B" w14:textId="77777777" w:rsidR="007F4791" w:rsidRPr="00A25F2C" w:rsidRDefault="007F4791" w:rsidP="00F13D2F">
            <w:pPr>
              <w:pStyle w:val="TableBodyText"/>
              <w:jc w:val="right"/>
            </w:pPr>
            <w:r w:rsidRPr="00A25F2C">
              <w:t>37.0</w:t>
            </w:r>
          </w:p>
        </w:tc>
        <w:tc>
          <w:tcPr>
            <w:tcW w:w="447" w:type="pct"/>
          </w:tcPr>
          <w:p w14:paraId="2F7CE7C7" w14:textId="77777777" w:rsidR="007F4791" w:rsidRPr="00A25F2C" w:rsidRDefault="007F4791" w:rsidP="00F13D2F">
            <w:pPr>
              <w:pStyle w:val="TableBodyText"/>
              <w:jc w:val="right"/>
            </w:pPr>
            <w:r w:rsidRPr="00A25F2C">
              <w:t>37.0</w:t>
            </w:r>
          </w:p>
        </w:tc>
      </w:tr>
      <w:tr w:rsidR="007F4791" w:rsidRPr="00A25F2C" w14:paraId="4E9E2A25" w14:textId="77777777" w:rsidTr="00F13D2F">
        <w:tc>
          <w:tcPr>
            <w:tcW w:w="1470" w:type="pct"/>
          </w:tcPr>
          <w:p w14:paraId="257D9EA2" w14:textId="77777777" w:rsidR="007F4791" w:rsidRPr="00A25F2C" w:rsidRDefault="007F4791" w:rsidP="004E1FA1">
            <w:pPr>
              <w:pStyle w:val="TableBodyText"/>
            </w:pPr>
            <w:r w:rsidRPr="00A25F2C">
              <w:t>Net Asset Sales</w:t>
            </w:r>
          </w:p>
        </w:tc>
        <w:tc>
          <w:tcPr>
            <w:tcW w:w="588" w:type="pct"/>
          </w:tcPr>
          <w:p w14:paraId="5F3B6A37" w14:textId="77777777" w:rsidR="007F4791" w:rsidRPr="00A25F2C" w:rsidRDefault="007F4791" w:rsidP="00F13D2F">
            <w:pPr>
              <w:pStyle w:val="TableBodyText"/>
              <w:jc w:val="right"/>
            </w:pPr>
            <w:r w:rsidRPr="00A25F2C">
              <w:t>0.0</w:t>
            </w:r>
          </w:p>
        </w:tc>
        <w:tc>
          <w:tcPr>
            <w:tcW w:w="609" w:type="pct"/>
          </w:tcPr>
          <w:p w14:paraId="0566B71F" w14:textId="2B8802B8" w:rsidR="007F4791" w:rsidRPr="00A25F2C" w:rsidRDefault="00995D31" w:rsidP="00F13D2F">
            <w:pPr>
              <w:pStyle w:val="TableBodyText"/>
              <w:jc w:val="right"/>
            </w:pPr>
            <w:r>
              <w:t>N/A</w:t>
            </w:r>
            <w:r w:rsidR="007F4791" w:rsidRPr="00A25F2C">
              <w:t>-</w:t>
            </w:r>
          </w:p>
        </w:tc>
        <w:tc>
          <w:tcPr>
            <w:tcW w:w="472" w:type="pct"/>
          </w:tcPr>
          <w:p w14:paraId="508BCC65" w14:textId="77777777" w:rsidR="007F4791" w:rsidRPr="00A25F2C" w:rsidRDefault="007F4791" w:rsidP="00F13D2F">
            <w:pPr>
              <w:pStyle w:val="TableBodyText"/>
              <w:jc w:val="right"/>
            </w:pPr>
            <w:r w:rsidRPr="00A25F2C">
              <w:t>0.4</w:t>
            </w:r>
          </w:p>
        </w:tc>
        <w:tc>
          <w:tcPr>
            <w:tcW w:w="471" w:type="pct"/>
          </w:tcPr>
          <w:p w14:paraId="1E2D1802" w14:textId="0DD71C9D" w:rsidR="007F4791" w:rsidRPr="00A25F2C" w:rsidRDefault="00995D31" w:rsidP="00F13D2F">
            <w:pPr>
              <w:pStyle w:val="TableBodyText"/>
              <w:jc w:val="right"/>
            </w:pPr>
            <w:r>
              <w:t>N/A</w:t>
            </w:r>
          </w:p>
        </w:tc>
        <w:tc>
          <w:tcPr>
            <w:tcW w:w="472" w:type="pct"/>
          </w:tcPr>
          <w:p w14:paraId="42FECBFC" w14:textId="68348FBE" w:rsidR="007F4791" w:rsidRPr="00A25F2C" w:rsidRDefault="00995D31" w:rsidP="00F13D2F">
            <w:pPr>
              <w:pStyle w:val="TableBodyText"/>
              <w:jc w:val="right"/>
            </w:pPr>
            <w:r>
              <w:t>N/A</w:t>
            </w:r>
          </w:p>
        </w:tc>
        <w:tc>
          <w:tcPr>
            <w:tcW w:w="470" w:type="pct"/>
          </w:tcPr>
          <w:p w14:paraId="43E4526C" w14:textId="71107D72" w:rsidR="007F4791" w:rsidRPr="00A25F2C" w:rsidRDefault="00995D31" w:rsidP="00F13D2F">
            <w:pPr>
              <w:pStyle w:val="TableBodyText"/>
              <w:jc w:val="right"/>
            </w:pPr>
            <w:r>
              <w:t>N/A</w:t>
            </w:r>
          </w:p>
        </w:tc>
        <w:tc>
          <w:tcPr>
            <w:tcW w:w="447" w:type="pct"/>
          </w:tcPr>
          <w:p w14:paraId="293AC4D7" w14:textId="20ECCAD6" w:rsidR="007F4791" w:rsidRPr="00A25F2C" w:rsidRDefault="00995D31" w:rsidP="00F13D2F">
            <w:pPr>
              <w:pStyle w:val="TableBodyText"/>
              <w:jc w:val="right"/>
            </w:pPr>
            <w:r>
              <w:t>N/A</w:t>
            </w:r>
          </w:p>
        </w:tc>
      </w:tr>
      <w:tr w:rsidR="007F4791" w:rsidRPr="00A25F2C" w14:paraId="4D7387A2" w14:textId="77777777" w:rsidTr="00F13D2F">
        <w:tc>
          <w:tcPr>
            <w:tcW w:w="1470" w:type="pct"/>
          </w:tcPr>
          <w:p w14:paraId="24C3B691" w14:textId="77777777" w:rsidR="007F4791" w:rsidRPr="00A25F2C" w:rsidRDefault="007F4791" w:rsidP="004E1FA1">
            <w:pPr>
              <w:pStyle w:val="TableBodyText"/>
            </w:pPr>
            <w:r w:rsidRPr="00A25F2C">
              <w:t>Other Revenue</w:t>
            </w:r>
          </w:p>
        </w:tc>
        <w:tc>
          <w:tcPr>
            <w:tcW w:w="588" w:type="pct"/>
          </w:tcPr>
          <w:p w14:paraId="033FAC73" w14:textId="77777777" w:rsidR="007F4791" w:rsidRPr="00A25F2C" w:rsidRDefault="007F4791" w:rsidP="00F13D2F">
            <w:pPr>
              <w:pStyle w:val="TableBodyText"/>
              <w:jc w:val="right"/>
            </w:pPr>
            <w:r w:rsidRPr="00A25F2C">
              <w:t>3.0</w:t>
            </w:r>
          </w:p>
        </w:tc>
        <w:tc>
          <w:tcPr>
            <w:tcW w:w="609" w:type="pct"/>
          </w:tcPr>
          <w:p w14:paraId="3CC76E1A" w14:textId="77777777" w:rsidR="007F4791" w:rsidRPr="00A25F2C" w:rsidRDefault="007F4791" w:rsidP="00F13D2F">
            <w:pPr>
              <w:pStyle w:val="TableBodyText"/>
              <w:jc w:val="right"/>
            </w:pPr>
            <w:r w:rsidRPr="00A25F2C">
              <w:t>3.1</w:t>
            </w:r>
          </w:p>
        </w:tc>
        <w:tc>
          <w:tcPr>
            <w:tcW w:w="472" w:type="pct"/>
          </w:tcPr>
          <w:p w14:paraId="49D7A95F" w14:textId="77777777" w:rsidR="007F4791" w:rsidRPr="00A25F2C" w:rsidRDefault="007F4791" w:rsidP="00F13D2F">
            <w:pPr>
              <w:pStyle w:val="TableBodyText"/>
              <w:jc w:val="right"/>
            </w:pPr>
            <w:r w:rsidRPr="00A25F2C">
              <w:t>2.9</w:t>
            </w:r>
          </w:p>
        </w:tc>
        <w:tc>
          <w:tcPr>
            <w:tcW w:w="471" w:type="pct"/>
          </w:tcPr>
          <w:p w14:paraId="71898EC1" w14:textId="77777777" w:rsidR="007F4791" w:rsidRPr="00A25F2C" w:rsidRDefault="007F4791" w:rsidP="00F13D2F">
            <w:pPr>
              <w:pStyle w:val="TableBodyText"/>
              <w:jc w:val="right"/>
            </w:pPr>
            <w:r w:rsidRPr="00A25F2C">
              <w:t>3.0</w:t>
            </w:r>
          </w:p>
        </w:tc>
        <w:tc>
          <w:tcPr>
            <w:tcW w:w="472" w:type="pct"/>
          </w:tcPr>
          <w:p w14:paraId="45367BDF" w14:textId="77777777" w:rsidR="007F4791" w:rsidRPr="00A25F2C" w:rsidRDefault="007F4791" w:rsidP="00F13D2F">
            <w:pPr>
              <w:pStyle w:val="TableBodyText"/>
              <w:jc w:val="right"/>
            </w:pPr>
            <w:r w:rsidRPr="00A25F2C">
              <w:t>3.1</w:t>
            </w:r>
          </w:p>
        </w:tc>
        <w:tc>
          <w:tcPr>
            <w:tcW w:w="470" w:type="pct"/>
          </w:tcPr>
          <w:p w14:paraId="563AFA4B" w14:textId="77777777" w:rsidR="007F4791" w:rsidRPr="00A25F2C" w:rsidRDefault="007F4791" w:rsidP="00F13D2F">
            <w:pPr>
              <w:pStyle w:val="TableBodyText"/>
              <w:jc w:val="right"/>
            </w:pPr>
            <w:r w:rsidRPr="00A25F2C">
              <w:t>3.2</w:t>
            </w:r>
          </w:p>
        </w:tc>
        <w:tc>
          <w:tcPr>
            <w:tcW w:w="447" w:type="pct"/>
          </w:tcPr>
          <w:p w14:paraId="2FA0F8BF" w14:textId="77777777" w:rsidR="007F4791" w:rsidRPr="00A25F2C" w:rsidRDefault="007F4791" w:rsidP="00F13D2F">
            <w:pPr>
              <w:pStyle w:val="TableBodyText"/>
              <w:jc w:val="right"/>
            </w:pPr>
            <w:r w:rsidRPr="00A25F2C">
              <w:t>3.2</w:t>
            </w:r>
          </w:p>
        </w:tc>
      </w:tr>
      <w:tr w:rsidR="007F4791" w:rsidRPr="00A25F2C" w14:paraId="42DE7125" w14:textId="77777777" w:rsidTr="00F13D2F">
        <w:tc>
          <w:tcPr>
            <w:tcW w:w="1470" w:type="pct"/>
          </w:tcPr>
          <w:p w14:paraId="6427404B" w14:textId="77777777" w:rsidR="007F4791" w:rsidRPr="00A25F2C" w:rsidRDefault="007F4791" w:rsidP="004E1FA1">
            <w:pPr>
              <w:pStyle w:val="TableBodyText"/>
            </w:pPr>
            <w:r w:rsidRPr="00A25F2C">
              <w:rPr>
                <w:b/>
              </w:rPr>
              <w:t>Total Operating Revenue</w:t>
            </w:r>
          </w:p>
        </w:tc>
        <w:tc>
          <w:tcPr>
            <w:tcW w:w="588" w:type="pct"/>
          </w:tcPr>
          <w:p w14:paraId="50DA7368" w14:textId="77777777" w:rsidR="007F4791" w:rsidRPr="00A25F2C" w:rsidRDefault="007F4791" w:rsidP="00F13D2F">
            <w:pPr>
              <w:pStyle w:val="TableBodyText"/>
              <w:jc w:val="right"/>
            </w:pPr>
            <w:r w:rsidRPr="00A25F2C">
              <w:rPr>
                <w:b/>
              </w:rPr>
              <w:t>482.4</w:t>
            </w:r>
          </w:p>
        </w:tc>
        <w:tc>
          <w:tcPr>
            <w:tcW w:w="609" w:type="pct"/>
          </w:tcPr>
          <w:p w14:paraId="678A47C7" w14:textId="77777777" w:rsidR="007F4791" w:rsidRPr="00A25F2C" w:rsidRDefault="007F4791" w:rsidP="00F13D2F">
            <w:pPr>
              <w:pStyle w:val="TableBodyText"/>
              <w:jc w:val="right"/>
            </w:pPr>
            <w:r w:rsidRPr="00A25F2C">
              <w:rPr>
                <w:b/>
              </w:rPr>
              <w:t>486.1</w:t>
            </w:r>
          </w:p>
        </w:tc>
        <w:tc>
          <w:tcPr>
            <w:tcW w:w="472" w:type="pct"/>
          </w:tcPr>
          <w:p w14:paraId="3EF085D1" w14:textId="77777777" w:rsidR="007F4791" w:rsidRPr="00A25F2C" w:rsidRDefault="007F4791" w:rsidP="00F13D2F">
            <w:pPr>
              <w:pStyle w:val="TableBodyText"/>
              <w:jc w:val="right"/>
            </w:pPr>
            <w:r w:rsidRPr="00A25F2C">
              <w:rPr>
                <w:b/>
              </w:rPr>
              <w:t>546.3</w:t>
            </w:r>
          </w:p>
        </w:tc>
        <w:tc>
          <w:tcPr>
            <w:tcW w:w="471" w:type="pct"/>
          </w:tcPr>
          <w:p w14:paraId="2C4A8BAD" w14:textId="77777777" w:rsidR="007F4791" w:rsidRPr="00A25F2C" w:rsidRDefault="007F4791" w:rsidP="00F13D2F">
            <w:pPr>
              <w:pStyle w:val="TableBodyText"/>
              <w:jc w:val="right"/>
            </w:pPr>
            <w:r w:rsidRPr="00A25F2C">
              <w:rPr>
                <w:b/>
              </w:rPr>
              <w:t>560.1</w:t>
            </w:r>
          </w:p>
        </w:tc>
        <w:tc>
          <w:tcPr>
            <w:tcW w:w="472" w:type="pct"/>
          </w:tcPr>
          <w:p w14:paraId="42DD4324" w14:textId="77777777" w:rsidR="007F4791" w:rsidRPr="00A25F2C" w:rsidRDefault="007F4791" w:rsidP="00F13D2F">
            <w:pPr>
              <w:pStyle w:val="TableBodyText"/>
              <w:jc w:val="right"/>
            </w:pPr>
            <w:r w:rsidRPr="00A25F2C">
              <w:rPr>
                <w:b/>
              </w:rPr>
              <w:t>597.2</w:t>
            </w:r>
          </w:p>
        </w:tc>
        <w:tc>
          <w:tcPr>
            <w:tcW w:w="470" w:type="pct"/>
          </w:tcPr>
          <w:p w14:paraId="3D658702" w14:textId="77777777" w:rsidR="007F4791" w:rsidRPr="00A25F2C" w:rsidRDefault="007F4791" w:rsidP="00F13D2F">
            <w:pPr>
              <w:pStyle w:val="TableBodyText"/>
              <w:jc w:val="right"/>
            </w:pPr>
            <w:r w:rsidRPr="00A25F2C">
              <w:rPr>
                <w:b/>
              </w:rPr>
              <w:t>625.6</w:t>
            </w:r>
          </w:p>
        </w:tc>
        <w:tc>
          <w:tcPr>
            <w:tcW w:w="447" w:type="pct"/>
          </w:tcPr>
          <w:p w14:paraId="7AF923C7" w14:textId="77777777" w:rsidR="007F4791" w:rsidRPr="00A25F2C" w:rsidRDefault="007F4791" w:rsidP="00F13D2F">
            <w:pPr>
              <w:pStyle w:val="TableBodyText"/>
              <w:jc w:val="right"/>
              <w:rPr>
                <w:b/>
              </w:rPr>
            </w:pPr>
            <w:r w:rsidRPr="00A25F2C">
              <w:rPr>
                <w:b/>
              </w:rPr>
              <w:t>642.2</w:t>
            </w:r>
          </w:p>
        </w:tc>
      </w:tr>
      <w:tr w:rsidR="007F4791" w:rsidRPr="00A25F2C" w14:paraId="6FD1F4A5" w14:textId="77777777" w:rsidTr="00F13D2F">
        <w:tc>
          <w:tcPr>
            <w:tcW w:w="1470" w:type="pct"/>
          </w:tcPr>
          <w:p w14:paraId="6AA768FD" w14:textId="77777777" w:rsidR="007F4791" w:rsidRPr="00A25F2C" w:rsidRDefault="007F4791" w:rsidP="004E1FA1">
            <w:pPr>
              <w:pStyle w:val="TableBodyText"/>
            </w:pPr>
            <w:r w:rsidRPr="00A25F2C">
              <w:t>Direct Operating Expenses</w:t>
            </w:r>
          </w:p>
        </w:tc>
        <w:tc>
          <w:tcPr>
            <w:tcW w:w="588" w:type="pct"/>
          </w:tcPr>
          <w:p w14:paraId="337395DE" w14:textId="77777777" w:rsidR="007F4791" w:rsidRPr="00A25F2C" w:rsidRDefault="007F4791" w:rsidP="00F13D2F">
            <w:pPr>
              <w:pStyle w:val="TableBodyText"/>
              <w:jc w:val="right"/>
            </w:pPr>
            <w:r w:rsidRPr="00A25F2C">
              <w:t>118.5</w:t>
            </w:r>
          </w:p>
        </w:tc>
        <w:tc>
          <w:tcPr>
            <w:tcW w:w="609" w:type="pct"/>
          </w:tcPr>
          <w:p w14:paraId="744924F6" w14:textId="77777777" w:rsidR="007F4791" w:rsidRPr="00A25F2C" w:rsidRDefault="007F4791" w:rsidP="00F13D2F">
            <w:pPr>
              <w:pStyle w:val="TableBodyText"/>
              <w:jc w:val="right"/>
            </w:pPr>
            <w:r w:rsidRPr="00A25F2C">
              <w:t>118.0</w:t>
            </w:r>
          </w:p>
        </w:tc>
        <w:tc>
          <w:tcPr>
            <w:tcW w:w="472" w:type="pct"/>
          </w:tcPr>
          <w:p w14:paraId="351BDDDD" w14:textId="77777777" w:rsidR="007F4791" w:rsidRPr="00A25F2C" w:rsidRDefault="007F4791" w:rsidP="00F13D2F">
            <w:pPr>
              <w:pStyle w:val="TableBodyText"/>
              <w:jc w:val="right"/>
            </w:pPr>
            <w:r w:rsidRPr="00A25F2C">
              <w:t>127.3</w:t>
            </w:r>
          </w:p>
        </w:tc>
        <w:tc>
          <w:tcPr>
            <w:tcW w:w="471" w:type="pct"/>
          </w:tcPr>
          <w:p w14:paraId="091B41BA" w14:textId="77777777" w:rsidR="007F4791" w:rsidRPr="00A25F2C" w:rsidRDefault="007F4791" w:rsidP="00F13D2F">
            <w:pPr>
              <w:pStyle w:val="TableBodyText"/>
              <w:jc w:val="right"/>
            </w:pPr>
            <w:r w:rsidRPr="00A25F2C">
              <w:t>131.3</w:t>
            </w:r>
          </w:p>
        </w:tc>
        <w:tc>
          <w:tcPr>
            <w:tcW w:w="472" w:type="pct"/>
          </w:tcPr>
          <w:p w14:paraId="75B53942" w14:textId="77777777" w:rsidR="007F4791" w:rsidRPr="00A25F2C" w:rsidRDefault="007F4791" w:rsidP="00F13D2F">
            <w:pPr>
              <w:pStyle w:val="TableBodyText"/>
              <w:jc w:val="right"/>
            </w:pPr>
            <w:r w:rsidRPr="00A25F2C">
              <w:t>135.4</w:t>
            </w:r>
          </w:p>
        </w:tc>
        <w:tc>
          <w:tcPr>
            <w:tcW w:w="470" w:type="pct"/>
          </w:tcPr>
          <w:p w14:paraId="44629E20" w14:textId="77777777" w:rsidR="007F4791" w:rsidRPr="00A25F2C" w:rsidRDefault="007F4791" w:rsidP="00F13D2F">
            <w:pPr>
              <w:pStyle w:val="TableBodyText"/>
              <w:jc w:val="right"/>
            </w:pPr>
            <w:r w:rsidRPr="00A25F2C">
              <w:t>139.0</w:t>
            </w:r>
          </w:p>
        </w:tc>
        <w:tc>
          <w:tcPr>
            <w:tcW w:w="447" w:type="pct"/>
          </w:tcPr>
          <w:p w14:paraId="165902ED" w14:textId="77777777" w:rsidR="007F4791" w:rsidRPr="00A25F2C" w:rsidRDefault="007F4791" w:rsidP="00F13D2F">
            <w:pPr>
              <w:pStyle w:val="TableBodyText"/>
              <w:jc w:val="right"/>
            </w:pPr>
            <w:r w:rsidRPr="00A25F2C">
              <w:t>143.0</w:t>
            </w:r>
          </w:p>
        </w:tc>
      </w:tr>
      <w:tr w:rsidR="007F4791" w:rsidRPr="00A25F2C" w14:paraId="42E4FDF1" w14:textId="77777777" w:rsidTr="00F13D2F">
        <w:tc>
          <w:tcPr>
            <w:tcW w:w="1470" w:type="pct"/>
          </w:tcPr>
          <w:p w14:paraId="64A340C5" w14:textId="77777777" w:rsidR="007F4791" w:rsidRPr="00A25F2C" w:rsidRDefault="007F4791" w:rsidP="004E1FA1">
            <w:pPr>
              <w:pStyle w:val="TableBodyText"/>
            </w:pPr>
            <w:r w:rsidRPr="00A25F2C">
              <w:t>Depreciation</w:t>
            </w:r>
          </w:p>
        </w:tc>
        <w:tc>
          <w:tcPr>
            <w:tcW w:w="588" w:type="pct"/>
          </w:tcPr>
          <w:p w14:paraId="65F8B5E2" w14:textId="77777777" w:rsidR="007F4791" w:rsidRPr="00A25F2C" w:rsidRDefault="007F4791" w:rsidP="00F13D2F">
            <w:pPr>
              <w:pStyle w:val="TableBodyText"/>
              <w:jc w:val="right"/>
            </w:pPr>
            <w:r w:rsidRPr="00A25F2C">
              <w:t>93.9</w:t>
            </w:r>
          </w:p>
        </w:tc>
        <w:tc>
          <w:tcPr>
            <w:tcW w:w="609" w:type="pct"/>
          </w:tcPr>
          <w:p w14:paraId="116683A9" w14:textId="77777777" w:rsidR="007F4791" w:rsidRPr="00A25F2C" w:rsidRDefault="007F4791" w:rsidP="00F13D2F">
            <w:pPr>
              <w:pStyle w:val="TableBodyText"/>
              <w:jc w:val="right"/>
            </w:pPr>
            <w:r w:rsidRPr="00A25F2C">
              <w:t>92.4</w:t>
            </w:r>
          </w:p>
        </w:tc>
        <w:tc>
          <w:tcPr>
            <w:tcW w:w="472" w:type="pct"/>
          </w:tcPr>
          <w:p w14:paraId="24D594BB" w14:textId="77777777" w:rsidR="007F4791" w:rsidRPr="00A25F2C" w:rsidRDefault="007F4791" w:rsidP="00F13D2F">
            <w:pPr>
              <w:pStyle w:val="TableBodyText"/>
              <w:jc w:val="right"/>
            </w:pPr>
            <w:r w:rsidRPr="00A25F2C">
              <w:t>99.3</w:t>
            </w:r>
          </w:p>
        </w:tc>
        <w:tc>
          <w:tcPr>
            <w:tcW w:w="471" w:type="pct"/>
          </w:tcPr>
          <w:p w14:paraId="30B79576" w14:textId="77777777" w:rsidR="007F4791" w:rsidRPr="00A25F2C" w:rsidRDefault="007F4791" w:rsidP="00F13D2F">
            <w:pPr>
              <w:pStyle w:val="TableBodyText"/>
              <w:jc w:val="right"/>
            </w:pPr>
            <w:r w:rsidRPr="00A25F2C">
              <w:t>111.1</w:t>
            </w:r>
          </w:p>
        </w:tc>
        <w:tc>
          <w:tcPr>
            <w:tcW w:w="472" w:type="pct"/>
          </w:tcPr>
          <w:p w14:paraId="0DEDAD4E" w14:textId="77777777" w:rsidR="007F4791" w:rsidRPr="00A25F2C" w:rsidRDefault="007F4791" w:rsidP="00F13D2F">
            <w:pPr>
              <w:pStyle w:val="TableBodyText"/>
              <w:jc w:val="right"/>
            </w:pPr>
            <w:r w:rsidRPr="00A25F2C">
              <w:t>121.1</w:t>
            </w:r>
          </w:p>
        </w:tc>
        <w:tc>
          <w:tcPr>
            <w:tcW w:w="470" w:type="pct"/>
          </w:tcPr>
          <w:p w14:paraId="721E5037" w14:textId="77777777" w:rsidR="007F4791" w:rsidRPr="00A25F2C" w:rsidRDefault="007F4791" w:rsidP="00F13D2F">
            <w:pPr>
              <w:pStyle w:val="TableBodyText"/>
              <w:jc w:val="right"/>
            </w:pPr>
            <w:r w:rsidRPr="00A25F2C">
              <w:t>128.9</w:t>
            </w:r>
          </w:p>
        </w:tc>
        <w:tc>
          <w:tcPr>
            <w:tcW w:w="447" w:type="pct"/>
          </w:tcPr>
          <w:p w14:paraId="0FF847BE" w14:textId="77777777" w:rsidR="007F4791" w:rsidRPr="00A25F2C" w:rsidRDefault="007F4791" w:rsidP="00F13D2F">
            <w:pPr>
              <w:pStyle w:val="TableBodyText"/>
              <w:jc w:val="right"/>
            </w:pPr>
            <w:r w:rsidRPr="00A25F2C">
              <w:t>139.6</w:t>
            </w:r>
          </w:p>
        </w:tc>
      </w:tr>
      <w:tr w:rsidR="007F4791" w:rsidRPr="00A25F2C" w14:paraId="077C491B" w14:textId="77777777" w:rsidTr="00F13D2F">
        <w:tc>
          <w:tcPr>
            <w:tcW w:w="1470" w:type="pct"/>
          </w:tcPr>
          <w:p w14:paraId="65EEF00C" w14:textId="77777777" w:rsidR="007F4791" w:rsidRPr="00A25F2C" w:rsidRDefault="007F4791" w:rsidP="004E1FA1">
            <w:pPr>
              <w:pStyle w:val="TableBodyText"/>
            </w:pPr>
            <w:r w:rsidRPr="00A25F2C">
              <w:t>Works in Progress / Asset Write-off</w:t>
            </w:r>
          </w:p>
        </w:tc>
        <w:tc>
          <w:tcPr>
            <w:tcW w:w="588" w:type="pct"/>
          </w:tcPr>
          <w:p w14:paraId="1A7BF2F9" w14:textId="77777777" w:rsidR="007F4791" w:rsidRPr="00A25F2C" w:rsidRDefault="007F4791" w:rsidP="00F13D2F">
            <w:pPr>
              <w:pStyle w:val="TableBodyText"/>
              <w:jc w:val="right"/>
            </w:pPr>
            <w:r w:rsidRPr="00A25F2C">
              <w:t>46.1</w:t>
            </w:r>
          </w:p>
        </w:tc>
        <w:tc>
          <w:tcPr>
            <w:tcW w:w="609" w:type="pct"/>
          </w:tcPr>
          <w:p w14:paraId="2025028A" w14:textId="77777777" w:rsidR="007F4791" w:rsidRPr="00A25F2C" w:rsidRDefault="007F4791" w:rsidP="00F13D2F">
            <w:pPr>
              <w:pStyle w:val="TableBodyText"/>
              <w:jc w:val="right"/>
            </w:pPr>
            <w:r w:rsidRPr="00A25F2C">
              <w:t>58.1</w:t>
            </w:r>
          </w:p>
        </w:tc>
        <w:tc>
          <w:tcPr>
            <w:tcW w:w="472" w:type="pct"/>
          </w:tcPr>
          <w:p w14:paraId="46DF37EE" w14:textId="77777777" w:rsidR="007F4791" w:rsidRPr="00A25F2C" w:rsidRDefault="007F4791" w:rsidP="00F13D2F">
            <w:pPr>
              <w:pStyle w:val="TableBodyText"/>
              <w:jc w:val="right"/>
            </w:pPr>
            <w:r w:rsidRPr="00A25F2C">
              <w:t>56.0</w:t>
            </w:r>
          </w:p>
        </w:tc>
        <w:tc>
          <w:tcPr>
            <w:tcW w:w="471" w:type="pct"/>
          </w:tcPr>
          <w:p w14:paraId="7C719075" w14:textId="77777777" w:rsidR="007F4791" w:rsidRPr="00A25F2C" w:rsidRDefault="007F4791" w:rsidP="00F13D2F">
            <w:pPr>
              <w:pStyle w:val="TableBodyText"/>
              <w:jc w:val="right"/>
            </w:pPr>
            <w:r w:rsidRPr="00A25F2C">
              <w:t>56.2</w:t>
            </w:r>
          </w:p>
        </w:tc>
        <w:tc>
          <w:tcPr>
            <w:tcW w:w="472" w:type="pct"/>
          </w:tcPr>
          <w:p w14:paraId="2BBFC108" w14:textId="77777777" w:rsidR="007F4791" w:rsidRPr="00A25F2C" w:rsidRDefault="007F4791" w:rsidP="00F13D2F">
            <w:pPr>
              <w:pStyle w:val="TableBodyText"/>
              <w:jc w:val="right"/>
            </w:pPr>
            <w:r w:rsidRPr="00A25F2C">
              <w:t>56.2</w:t>
            </w:r>
          </w:p>
        </w:tc>
        <w:tc>
          <w:tcPr>
            <w:tcW w:w="470" w:type="pct"/>
          </w:tcPr>
          <w:p w14:paraId="765D125D" w14:textId="77777777" w:rsidR="007F4791" w:rsidRPr="00A25F2C" w:rsidRDefault="007F4791" w:rsidP="00F13D2F">
            <w:pPr>
              <w:pStyle w:val="TableBodyText"/>
              <w:jc w:val="right"/>
            </w:pPr>
            <w:r w:rsidRPr="00A25F2C">
              <w:t>56.2</w:t>
            </w:r>
          </w:p>
        </w:tc>
        <w:tc>
          <w:tcPr>
            <w:tcW w:w="447" w:type="pct"/>
          </w:tcPr>
          <w:p w14:paraId="6B967E68" w14:textId="77777777" w:rsidR="007F4791" w:rsidRPr="00A25F2C" w:rsidRDefault="007F4791" w:rsidP="00F13D2F">
            <w:pPr>
              <w:pStyle w:val="TableBodyText"/>
              <w:jc w:val="right"/>
            </w:pPr>
            <w:r w:rsidRPr="00A25F2C">
              <w:t>56.2</w:t>
            </w:r>
          </w:p>
        </w:tc>
      </w:tr>
      <w:tr w:rsidR="007F4791" w:rsidRPr="00A25F2C" w14:paraId="05487CB9" w14:textId="77777777" w:rsidTr="00F13D2F">
        <w:tc>
          <w:tcPr>
            <w:tcW w:w="1470" w:type="pct"/>
          </w:tcPr>
          <w:p w14:paraId="460D44E2" w14:textId="77777777" w:rsidR="007F4791" w:rsidRPr="00A25F2C" w:rsidRDefault="007F4791" w:rsidP="004E1FA1">
            <w:pPr>
              <w:pStyle w:val="TableBodyText"/>
            </w:pPr>
            <w:r w:rsidRPr="00A25F2C">
              <w:rPr>
                <w:b/>
              </w:rPr>
              <w:t>EBIT</w:t>
            </w:r>
          </w:p>
        </w:tc>
        <w:tc>
          <w:tcPr>
            <w:tcW w:w="588" w:type="pct"/>
          </w:tcPr>
          <w:p w14:paraId="06187529" w14:textId="77777777" w:rsidR="007F4791" w:rsidRPr="00A25F2C" w:rsidRDefault="007F4791" w:rsidP="00F13D2F">
            <w:pPr>
              <w:pStyle w:val="TableBodyText"/>
              <w:jc w:val="right"/>
            </w:pPr>
            <w:r w:rsidRPr="00A25F2C">
              <w:rPr>
                <w:b/>
              </w:rPr>
              <w:t>223.9</w:t>
            </w:r>
          </w:p>
        </w:tc>
        <w:tc>
          <w:tcPr>
            <w:tcW w:w="609" w:type="pct"/>
          </w:tcPr>
          <w:p w14:paraId="73535E50" w14:textId="77777777" w:rsidR="007F4791" w:rsidRPr="00A25F2C" w:rsidRDefault="007F4791" w:rsidP="00F13D2F">
            <w:pPr>
              <w:pStyle w:val="TableBodyText"/>
              <w:jc w:val="right"/>
            </w:pPr>
            <w:r w:rsidRPr="00A25F2C">
              <w:rPr>
                <w:b/>
              </w:rPr>
              <w:t>217.7</w:t>
            </w:r>
          </w:p>
        </w:tc>
        <w:tc>
          <w:tcPr>
            <w:tcW w:w="472" w:type="pct"/>
          </w:tcPr>
          <w:p w14:paraId="60561AA5" w14:textId="77777777" w:rsidR="007F4791" w:rsidRPr="00A25F2C" w:rsidRDefault="007F4791" w:rsidP="00F13D2F">
            <w:pPr>
              <w:pStyle w:val="TableBodyText"/>
              <w:jc w:val="right"/>
            </w:pPr>
            <w:r w:rsidRPr="00A25F2C">
              <w:rPr>
                <w:b/>
              </w:rPr>
              <w:t>263.7</w:t>
            </w:r>
          </w:p>
        </w:tc>
        <w:tc>
          <w:tcPr>
            <w:tcW w:w="471" w:type="pct"/>
          </w:tcPr>
          <w:p w14:paraId="6249283F" w14:textId="77777777" w:rsidR="007F4791" w:rsidRPr="00A25F2C" w:rsidRDefault="007F4791" w:rsidP="00F13D2F">
            <w:pPr>
              <w:pStyle w:val="TableBodyText"/>
              <w:jc w:val="right"/>
            </w:pPr>
            <w:r w:rsidRPr="00A25F2C">
              <w:rPr>
                <w:b/>
              </w:rPr>
              <w:t>261.4</w:t>
            </w:r>
          </w:p>
        </w:tc>
        <w:tc>
          <w:tcPr>
            <w:tcW w:w="472" w:type="pct"/>
          </w:tcPr>
          <w:p w14:paraId="2B99DFD7" w14:textId="77777777" w:rsidR="007F4791" w:rsidRPr="00A25F2C" w:rsidRDefault="007F4791" w:rsidP="00F13D2F">
            <w:pPr>
              <w:pStyle w:val="TableBodyText"/>
              <w:jc w:val="right"/>
            </w:pPr>
            <w:r w:rsidRPr="00A25F2C">
              <w:rPr>
                <w:b/>
              </w:rPr>
              <w:t>284.5</w:t>
            </w:r>
          </w:p>
        </w:tc>
        <w:tc>
          <w:tcPr>
            <w:tcW w:w="470" w:type="pct"/>
          </w:tcPr>
          <w:p w14:paraId="492D049C" w14:textId="77777777" w:rsidR="007F4791" w:rsidRPr="00A25F2C" w:rsidRDefault="007F4791" w:rsidP="00F13D2F">
            <w:pPr>
              <w:pStyle w:val="TableBodyText"/>
              <w:jc w:val="right"/>
            </w:pPr>
            <w:r w:rsidRPr="00A25F2C">
              <w:rPr>
                <w:b/>
              </w:rPr>
              <w:t>301.5</w:t>
            </w:r>
          </w:p>
        </w:tc>
        <w:tc>
          <w:tcPr>
            <w:tcW w:w="447" w:type="pct"/>
          </w:tcPr>
          <w:p w14:paraId="5F16B5C7" w14:textId="77777777" w:rsidR="007F4791" w:rsidRPr="00A25F2C" w:rsidRDefault="007F4791" w:rsidP="00F13D2F">
            <w:pPr>
              <w:pStyle w:val="TableBodyText"/>
              <w:jc w:val="right"/>
              <w:rPr>
                <w:b/>
              </w:rPr>
            </w:pPr>
            <w:r w:rsidRPr="00A25F2C">
              <w:rPr>
                <w:b/>
              </w:rPr>
              <w:t>303.4</w:t>
            </w:r>
          </w:p>
        </w:tc>
      </w:tr>
    </w:tbl>
    <w:p w14:paraId="68BD0FFE" w14:textId="3FB052B8" w:rsidR="00143D6B" w:rsidRDefault="007F4791" w:rsidP="00E65500">
      <w:pPr>
        <w:pStyle w:val="BodyText"/>
        <w:spacing w:before="60"/>
      </w:pPr>
      <w:r w:rsidRPr="00A25F2C">
        <w:t>All tables subject to rounding</w:t>
      </w:r>
      <w:r w:rsidR="0086694E">
        <w:t>.</w:t>
      </w:r>
    </w:p>
    <w:p w14:paraId="5C4D1235" w14:textId="1063DBFF" w:rsidR="007F4791" w:rsidRPr="00A25F2C" w:rsidRDefault="0086694E" w:rsidP="0086694E">
      <w:pPr>
        <w:pStyle w:val="Caption"/>
      </w:pPr>
      <w:r w:rsidRPr="0086694E">
        <w:t>Table E20 – EBIT by Service – Recycled Water (Alternative Water Sources)</w:t>
      </w:r>
    </w:p>
    <w:tbl>
      <w:tblPr>
        <w:tblStyle w:val="TableProfessional"/>
        <w:tblW w:w="5000" w:type="pct"/>
        <w:tblLook w:val="0620" w:firstRow="1" w:lastRow="0" w:firstColumn="0" w:lastColumn="0" w:noHBand="1" w:noVBand="1"/>
      </w:tblPr>
      <w:tblGrid>
        <w:gridCol w:w="2833"/>
        <w:gridCol w:w="1134"/>
        <w:gridCol w:w="1173"/>
        <w:gridCol w:w="909"/>
        <w:gridCol w:w="907"/>
        <w:gridCol w:w="909"/>
        <w:gridCol w:w="905"/>
        <w:gridCol w:w="861"/>
      </w:tblGrid>
      <w:tr w:rsidR="00F13D2F" w:rsidRPr="00A25F2C" w14:paraId="3F63BA76" w14:textId="77777777" w:rsidTr="00F13D2F">
        <w:trPr>
          <w:cnfStyle w:val="100000000000" w:firstRow="1" w:lastRow="0" w:firstColumn="0" w:lastColumn="0" w:oddVBand="0" w:evenVBand="0" w:oddHBand="0" w:evenHBand="0" w:firstRowFirstColumn="0" w:firstRowLastColumn="0" w:lastRowFirstColumn="0" w:lastRowLastColumn="0"/>
        </w:trPr>
        <w:tc>
          <w:tcPr>
            <w:tcW w:w="1470" w:type="pct"/>
          </w:tcPr>
          <w:p w14:paraId="13C05206" w14:textId="1EFC99F5" w:rsidR="007F4791" w:rsidRPr="00A25F2C" w:rsidRDefault="007F4791" w:rsidP="004E1FA1">
            <w:pPr>
              <w:pStyle w:val="TableBodyText"/>
            </w:pPr>
            <w:r w:rsidRPr="00A25F2C">
              <w:t xml:space="preserve">Nominal </w:t>
            </w:r>
            <w:r w:rsidR="00E65500">
              <w:t>$ million</w:t>
            </w:r>
          </w:p>
        </w:tc>
        <w:tc>
          <w:tcPr>
            <w:tcW w:w="588" w:type="pct"/>
          </w:tcPr>
          <w:p w14:paraId="541770B1" w14:textId="77777777" w:rsidR="007F4791" w:rsidRPr="00A25F2C" w:rsidRDefault="007F4791" w:rsidP="00F13D2F">
            <w:pPr>
              <w:pStyle w:val="TableBodyText"/>
              <w:jc w:val="right"/>
            </w:pPr>
            <w:r w:rsidRPr="00A25F2C">
              <w:t>2022-23</w:t>
            </w:r>
          </w:p>
          <w:p w14:paraId="224B1F34" w14:textId="77777777" w:rsidR="007F4791" w:rsidRPr="00A25F2C" w:rsidRDefault="007F4791" w:rsidP="00F13D2F">
            <w:pPr>
              <w:pStyle w:val="TableBodyText"/>
              <w:jc w:val="right"/>
            </w:pPr>
            <w:r w:rsidRPr="00A25F2C">
              <w:t>FCT</w:t>
            </w:r>
          </w:p>
        </w:tc>
        <w:tc>
          <w:tcPr>
            <w:tcW w:w="609" w:type="pct"/>
          </w:tcPr>
          <w:p w14:paraId="36F8CCC2" w14:textId="77777777" w:rsidR="007F4791" w:rsidRPr="00A25F2C" w:rsidRDefault="007F4791" w:rsidP="00F13D2F">
            <w:pPr>
              <w:pStyle w:val="TableBodyText"/>
              <w:jc w:val="right"/>
            </w:pPr>
            <w:r w:rsidRPr="00A25F2C">
              <w:t>2022-23</w:t>
            </w:r>
          </w:p>
          <w:p w14:paraId="01D3F12B" w14:textId="77777777" w:rsidR="007F4791" w:rsidRPr="00A25F2C" w:rsidRDefault="007F4791" w:rsidP="00F13D2F">
            <w:pPr>
              <w:pStyle w:val="TableBodyText"/>
              <w:jc w:val="right"/>
            </w:pPr>
            <w:r w:rsidRPr="00A25F2C">
              <w:t>PLAN</w:t>
            </w:r>
          </w:p>
        </w:tc>
        <w:tc>
          <w:tcPr>
            <w:tcW w:w="472" w:type="pct"/>
          </w:tcPr>
          <w:p w14:paraId="3AD7A50F" w14:textId="77777777" w:rsidR="007F4791" w:rsidRPr="00A25F2C" w:rsidRDefault="007F4791" w:rsidP="00F13D2F">
            <w:pPr>
              <w:pStyle w:val="TableBodyText"/>
              <w:jc w:val="right"/>
            </w:pPr>
            <w:r w:rsidRPr="00A25F2C">
              <w:t>2023-24</w:t>
            </w:r>
          </w:p>
        </w:tc>
        <w:tc>
          <w:tcPr>
            <w:tcW w:w="471" w:type="pct"/>
          </w:tcPr>
          <w:p w14:paraId="7DE41141" w14:textId="77777777" w:rsidR="007F4791" w:rsidRPr="00A25F2C" w:rsidRDefault="007F4791" w:rsidP="00F13D2F">
            <w:pPr>
              <w:pStyle w:val="TableBodyText"/>
              <w:jc w:val="right"/>
            </w:pPr>
            <w:r w:rsidRPr="00A25F2C">
              <w:t>2024-25</w:t>
            </w:r>
          </w:p>
        </w:tc>
        <w:tc>
          <w:tcPr>
            <w:tcW w:w="472" w:type="pct"/>
          </w:tcPr>
          <w:p w14:paraId="3176F588" w14:textId="77777777" w:rsidR="007F4791" w:rsidRPr="00A25F2C" w:rsidRDefault="007F4791" w:rsidP="00F13D2F">
            <w:pPr>
              <w:pStyle w:val="TableBodyText"/>
              <w:jc w:val="right"/>
            </w:pPr>
            <w:r w:rsidRPr="00A25F2C">
              <w:t>2025-26</w:t>
            </w:r>
          </w:p>
        </w:tc>
        <w:tc>
          <w:tcPr>
            <w:tcW w:w="470" w:type="pct"/>
          </w:tcPr>
          <w:p w14:paraId="3BB63341" w14:textId="77777777" w:rsidR="007F4791" w:rsidRPr="00A25F2C" w:rsidRDefault="007F4791" w:rsidP="00F13D2F">
            <w:pPr>
              <w:pStyle w:val="TableBodyText"/>
              <w:jc w:val="right"/>
            </w:pPr>
            <w:r w:rsidRPr="00A25F2C">
              <w:t>2026-27</w:t>
            </w:r>
          </w:p>
        </w:tc>
        <w:tc>
          <w:tcPr>
            <w:tcW w:w="447" w:type="pct"/>
          </w:tcPr>
          <w:p w14:paraId="57D91E14" w14:textId="77777777" w:rsidR="007F4791" w:rsidRPr="00A25F2C" w:rsidRDefault="007F4791" w:rsidP="00F13D2F">
            <w:pPr>
              <w:pStyle w:val="TableBodyText"/>
              <w:jc w:val="right"/>
            </w:pPr>
            <w:r w:rsidRPr="00A25F2C">
              <w:t>2027-28</w:t>
            </w:r>
          </w:p>
        </w:tc>
      </w:tr>
      <w:tr w:rsidR="007F4791" w:rsidRPr="00A25F2C" w14:paraId="1E5B6A36" w14:textId="77777777" w:rsidTr="00F13D2F">
        <w:tc>
          <w:tcPr>
            <w:tcW w:w="1470" w:type="pct"/>
          </w:tcPr>
          <w:p w14:paraId="6FF5087F" w14:textId="77777777" w:rsidR="007F4791" w:rsidRPr="00A25F2C" w:rsidRDefault="007F4791" w:rsidP="004E1FA1">
            <w:pPr>
              <w:pStyle w:val="TableBodyText"/>
            </w:pPr>
            <w:r w:rsidRPr="00A25F2C">
              <w:t>Other Revenue</w:t>
            </w:r>
          </w:p>
        </w:tc>
        <w:tc>
          <w:tcPr>
            <w:tcW w:w="588" w:type="pct"/>
          </w:tcPr>
          <w:p w14:paraId="2653E2DB" w14:textId="77777777" w:rsidR="007F4791" w:rsidRPr="00A25F2C" w:rsidRDefault="007F4791" w:rsidP="00F13D2F">
            <w:pPr>
              <w:pStyle w:val="TableBodyText"/>
              <w:jc w:val="right"/>
            </w:pPr>
            <w:r w:rsidRPr="00A25F2C">
              <w:t>2.9</w:t>
            </w:r>
          </w:p>
        </w:tc>
        <w:tc>
          <w:tcPr>
            <w:tcW w:w="609" w:type="pct"/>
          </w:tcPr>
          <w:p w14:paraId="7B32A2A1" w14:textId="77777777" w:rsidR="007F4791" w:rsidRPr="00A25F2C" w:rsidRDefault="007F4791" w:rsidP="00F13D2F">
            <w:pPr>
              <w:pStyle w:val="TableBodyText"/>
              <w:jc w:val="right"/>
            </w:pPr>
            <w:r w:rsidRPr="00A25F2C">
              <w:t>3.1</w:t>
            </w:r>
          </w:p>
        </w:tc>
        <w:tc>
          <w:tcPr>
            <w:tcW w:w="472" w:type="pct"/>
          </w:tcPr>
          <w:p w14:paraId="6095E7BB" w14:textId="77777777" w:rsidR="007F4791" w:rsidRPr="00A25F2C" w:rsidRDefault="007F4791" w:rsidP="00F13D2F">
            <w:pPr>
              <w:pStyle w:val="TableBodyText"/>
              <w:jc w:val="right"/>
            </w:pPr>
            <w:r w:rsidRPr="00A25F2C">
              <w:t>3.3</w:t>
            </w:r>
          </w:p>
        </w:tc>
        <w:tc>
          <w:tcPr>
            <w:tcW w:w="471" w:type="pct"/>
          </w:tcPr>
          <w:p w14:paraId="71E7EAD7" w14:textId="77777777" w:rsidR="007F4791" w:rsidRPr="00A25F2C" w:rsidRDefault="007F4791" w:rsidP="00F13D2F">
            <w:pPr>
              <w:pStyle w:val="TableBodyText"/>
              <w:jc w:val="right"/>
            </w:pPr>
            <w:r w:rsidRPr="00A25F2C">
              <w:t>3.4</w:t>
            </w:r>
          </w:p>
        </w:tc>
        <w:tc>
          <w:tcPr>
            <w:tcW w:w="472" w:type="pct"/>
          </w:tcPr>
          <w:p w14:paraId="6929283F" w14:textId="77777777" w:rsidR="007F4791" w:rsidRPr="00A25F2C" w:rsidRDefault="007F4791" w:rsidP="00F13D2F">
            <w:pPr>
              <w:pStyle w:val="TableBodyText"/>
              <w:jc w:val="right"/>
            </w:pPr>
            <w:r w:rsidRPr="00A25F2C">
              <w:t>3.4</w:t>
            </w:r>
          </w:p>
        </w:tc>
        <w:tc>
          <w:tcPr>
            <w:tcW w:w="470" w:type="pct"/>
          </w:tcPr>
          <w:p w14:paraId="6AF9F9B0" w14:textId="77777777" w:rsidR="007F4791" w:rsidRPr="00A25F2C" w:rsidRDefault="007F4791" w:rsidP="00F13D2F">
            <w:pPr>
              <w:pStyle w:val="TableBodyText"/>
              <w:jc w:val="right"/>
            </w:pPr>
            <w:r w:rsidRPr="00A25F2C">
              <w:t>3.5</w:t>
            </w:r>
          </w:p>
        </w:tc>
        <w:tc>
          <w:tcPr>
            <w:tcW w:w="447" w:type="pct"/>
          </w:tcPr>
          <w:p w14:paraId="12ECB7FF" w14:textId="77777777" w:rsidR="007F4791" w:rsidRPr="00A25F2C" w:rsidRDefault="007F4791" w:rsidP="00F13D2F">
            <w:pPr>
              <w:pStyle w:val="TableBodyText"/>
              <w:jc w:val="right"/>
            </w:pPr>
            <w:r w:rsidRPr="00A25F2C">
              <w:t>3.6</w:t>
            </w:r>
          </w:p>
        </w:tc>
      </w:tr>
      <w:tr w:rsidR="007F4791" w:rsidRPr="00A25F2C" w14:paraId="6E293C29" w14:textId="77777777" w:rsidTr="00F13D2F">
        <w:tc>
          <w:tcPr>
            <w:tcW w:w="1470" w:type="pct"/>
          </w:tcPr>
          <w:p w14:paraId="3406526A" w14:textId="77777777" w:rsidR="007F4791" w:rsidRPr="00A25F2C" w:rsidRDefault="007F4791" w:rsidP="004E1FA1">
            <w:pPr>
              <w:pStyle w:val="TableBodyText"/>
            </w:pPr>
            <w:r w:rsidRPr="00A25F2C">
              <w:rPr>
                <w:b/>
              </w:rPr>
              <w:t>Total Operating Revenue</w:t>
            </w:r>
          </w:p>
        </w:tc>
        <w:tc>
          <w:tcPr>
            <w:tcW w:w="588" w:type="pct"/>
          </w:tcPr>
          <w:p w14:paraId="71947A35" w14:textId="77777777" w:rsidR="007F4791" w:rsidRPr="00A25F2C" w:rsidRDefault="007F4791" w:rsidP="00F13D2F">
            <w:pPr>
              <w:pStyle w:val="TableBodyText"/>
              <w:jc w:val="right"/>
            </w:pPr>
            <w:r w:rsidRPr="00A25F2C">
              <w:rPr>
                <w:b/>
              </w:rPr>
              <w:t>2.9</w:t>
            </w:r>
          </w:p>
        </w:tc>
        <w:tc>
          <w:tcPr>
            <w:tcW w:w="609" w:type="pct"/>
          </w:tcPr>
          <w:p w14:paraId="68212AF4" w14:textId="77777777" w:rsidR="007F4791" w:rsidRPr="00A25F2C" w:rsidRDefault="007F4791" w:rsidP="00F13D2F">
            <w:pPr>
              <w:pStyle w:val="TableBodyText"/>
              <w:jc w:val="right"/>
            </w:pPr>
            <w:r w:rsidRPr="00A25F2C">
              <w:rPr>
                <w:b/>
              </w:rPr>
              <w:t>3.1</w:t>
            </w:r>
          </w:p>
        </w:tc>
        <w:tc>
          <w:tcPr>
            <w:tcW w:w="472" w:type="pct"/>
          </w:tcPr>
          <w:p w14:paraId="5B79BB77" w14:textId="77777777" w:rsidR="007F4791" w:rsidRPr="00A25F2C" w:rsidRDefault="007F4791" w:rsidP="00F13D2F">
            <w:pPr>
              <w:pStyle w:val="TableBodyText"/>
              <w:jc w:val="right"/>
            </w:pPr>
            <w:r w:rsidRPr="00A25F2C">
              <w:rPr>
                <w:b/>
              </w:rPr>
              <w:t>3.3</w:t>
            </w:r>
          </w:p>
        </w:tc>
        <w:tc>
          <w:tcPr>
            <w:tcW w:w="471" w:type="pct"/>
          </w:tcPr>
          <w:p w14:paraId="6819A27D" w14:textId="77777777" w:rsidR="007F4791" w:rsidRPr="00A25F2C" w:rsidRDefault="007F4791" w:rsidP="00F13D2F">
            <w:pPr>
              <w:pStyle w:val="TableBodyText"/>
              <w:jc w:val="right"/>
            </w:pPr>
            <w:r w:rsidRPr="00A25F2C">
              <w:rPr>
                <w:b/>
              </w:rPr>
              <w:t>3.4</w:t>
            </w:r>
          </w:p>
        </w:tc>
        <w:tc>
          <w:tcPr>
            <w:tcW w:w="472" w:type="pct"/>
          </w:tcPr>
          <w:p w14:paraId="3A7B8295" w14:textId="77777777" w:rsidR="007F4791" w:rsidRPr="00A25F2C" w:rsidRDefault="007F4791" w:rsidP="00F13D2F">
            <w:pPr>
              <w:pStyle w:val="TableBodyText"/>
              <w:jc w:val="right"/>
            </w:pPr>
            <w:r w:rsidRPr="00A25F2C">
              <w:rPr>
                <w:b/>
              </w:rPr>
              <w:t>3.4</w:t>
            </w:r>
          </w:p>
        </w:tc>
        <w:tc>
          <w:tcPr>
            <w:tcW w:w="470" w:type="pct"/>
          </w:tcPr>
          <w:p w14:paraId="2F4D5A8F" w14:textId="77777777" w:rsidR="007F4791" w:rsidRPr="00A25F2C" w:rsidRDefault="007F4791" w:rsidP="00F13D2F">
            <w:pPr>
              <w:pStyle w:val="TableBodyText"/>
              <w:jc w:val="right"/>
            </w:pPr>
            <w:r w:rsidRPr="00A25F2C">
              <w:rPr>
                <w:b/>
              </w:rPr>
              <w:t>3.5</w:t>
            </w:r>
          </w:p>
        </w:tc>
        <w:tc>
          <w:tcPr>
            <w:tcW w:w="447" w:type="pct"/>
          </w:tcPr>
          <w:p w14:paraId="4597DDEA" w14:textId="77777777" w:rsidR="007F4791" w:rsidRPr="00A25F2C" w:rsidRDefault="007F4791" w:rsidP="00F13D2F">
            <w:pPr>
              <w:pStyle w:val="TableBodyText"/>
              <w:jc w:val="right"/>
              <w:rPr>
                <w:b/>
              </w:rPr>
            </w:pPr>
            <w:r w:rsidRPr="00A25F2C">
              <w:rPr>
                <w:b/>
              </w:rPr>
              <w:t>3.6</w:t>
            </w:r>
          </w:p>
        </w:tc>
      </w:tr>
      <w:tr w:rsidR="007F4791" w:rsidRPr="00A25F2C" w14:paraId="3475D354" w14:textId="77777777" w:rsidTr="00F13D2F">
        <w:tc>
          <w:tcPr>
            <w:tcW w:w="1470" w:type="pct"/>
          </w:tcPr>
          <w:p w14:paraId="3EF5EF26" w14:textId="77777777" w:rsidR="007F4791" w:rsidRPr="00A25F2C" w:rsidRDefault="007F4791" w:rsidP="004E1FA1">
            <w:pPr>
              <w:pStyle w:val="TableBodyText"/>
            </w:pPr>
            <w:r w:rsidRPr="00A25F2C">
              <w:t>Direct Operating Expenses</w:t>
            </w:r>
          </w:p>
        </w:tc>
        <w:tc>
          <w:tcPr>
            <w:tcW w:w="588" w:type="pct"/>
          </w:tcPr>
          <w:p w14:paraId="7BE46130" w14:textId="77777777" w:rsidR="007F4791" w:rsidRPr="00A25F2C" w:rsidRDefault="007F4791" w:rsidP="00F13D2F">
            <w:pPr>
              <w:pStyle w:val="TableBodyText"/>
              <w:jc w:val="right"/>
            </w:pPr>
            <w:r w:rsidRPr="00A25F2C">
              <w:t>1.9</w:t>
            </w:r>
          </w:p>
        </w:tc>
        <w:tc>
          <w:tcPr>
            <w:tcW w:w="609" w:type="pct"/>
          </w:tcPr>
          <w:p w14:paraId="03716D38" w14:textId="77777777" w:rsidR="007F4791" w:rsidRPr="00A25F2C" w:rsidRDefault="007F4791" w:rsidP="00F13D2F">
            <w:pPr>
              <w:pStyle w:val="TableBodyText"/>
              <w:jc w:val="right"/>
            </w:pPr>
            <w:r w:rsidRPr="00A25F2C">
              <w:t>3.0</w:t>
            </w:r>
          </w:p>
        </w:tc>
        <w:tc>
          <w:tcPr>
            <w:tcW w:w="472" w:type="pct"/>
          </w:tcPr>
          <w:p w14:paraId="3177BDB5" w14:textId="77777777" w:rsidR="007F4791" w:rsidRPr="00A25F2C" w:rsidRDefault="007F4791" w:rsidP="00F13D2F">
            <w:pPr>
              <w:pStyle w:val="TableBodyText"/>
              <w:jc w:val="right"/>
            </w:pPr>
            <w:r w:rsidRPr="00A25F2C">
              <w:t>2.9</w:t>
            </w:r>
          </w:p>
        </w:tc>
        <w:tc>
          <w:tcPr>
            <w:tcW w:w="471" w:type="pct"/>
          </w:tcPr>
          <w:p w14:paraId="59B5A3B7" w14:textId="77777777" w:rsidR="007F4791" w:rsidRPr="00A25F2C" w:rsidRDefault="007F4791" w:rsidP="00F13D2F">
            <w:pPr>
              <w:pStyle w:val="TableBodyText"/>
              <w:jc w:val="right"/>
            </w:pPr>
            <w:r w:rsidRPr="00A25F2C">
              <w:t>2.9</w:t>
            </w:r>
          </w:p>
        </w:tc>
        <w:tc>
          <w:tcPr>
            <w:tcW w:w="472" w:type="pct"/>
          </w:tcPr>
          <w:p w14:paraId="285690F4" w14:textId="77777777" w:rsidR="007F4791" w:rsidRPr="00A25F2C" w:rsidRDefault="007F4791" w:rsidP="00F13D2F">
            <w:pPr>
              <w:pStyle w:val="TableBodyText"/>
              <w:jc w:val="right"/>
            </w:pPr>
            <w:r w:rsidRPr="00A25F2C">
              <w:t>3.0</w:t>
            </w:r>
          </w:p>
        </w:tc>
        <w:tc>
          <w:tcPr>
            <w:tcW w:w="470" w:type="pct"/>
          </w:tcPr>
          <w:p w14:paraId="1C03A294" w14:textId="77777777" w:rsidR="007F4791" w:rsidRPr="00A25F2C" w:rsidRDefault="007F4791" w:rsidP="00F13D2F">
            <w:pPr>
              <w:pStyle w:val="TableBodyText"/>
              <w:jc w:val="right"/>
            </w:pPr>
            <w:r w:rsidRPr="00A25F2C">
              <w:t>3.1</w:t>
            </w:r>
          </w:p>
        </w:tc>
        <w:tc>
          <w:tcPr>
            <w:tcW w:w="447" w:type="pct"/>
          </w:tcPr>
          <w:p w14:paraId="5280DB9C" w14:textId="77777777" w:rsidR="007F4791" w:rsidRPr="00A25F2C" w:rsidRDefault="007F4791" w:rsidP="00F13D2F">
            <w:pPr>
              <w:pStyle w:val="TableBodyText"/>
              <w:jc w:val="right"/>
            </w:pPr>
            <w:r w:rsidRPr="00A25F2C">
              <w:t>3.1</w:t>
            </w:r>
          </w:p>
        </w:tc>
      </w:tr>
      <w:tr w:rsidR="007F4791" w:rsidRPr="00A25F2C" w14:paraId="0DEE7420" w14:textId="77777777" w:rsidTr="00F13D2F">
        <w:tc>
          <w:tcPr>
            <w:tcW w:w="1470" w:type="pct"/>
          </w:tcPr>
          <w:p w14:paraId="27390752" w14:textId="77777777" w:rsidR="007F4791" w:rsidRPr="00A25F2C" w:rsidRDefault="007F4791" w:rsidP="004E1FA1">
            <w:pPr>
              <w:pStyle w:val="TableBodyText"/>
            </w:pPr>
            <w:r w:rsidRPr="00A25F2C">
              <w:t>Depreciation</w:t>
            </w:r>
          </w:p>
        </w:tc>
        <w:tc>
          <w:tcPr>
            <w:tcW w:w="588" w:type="pct"/>
          </w:tcPr>
          <w:p w14:paraId="51DAAB68" w14:textId="77777777" w:rsidR="007F4791" w:rsidRPr="00A25F2C" w:rsidRDefault="007F4791" w:rsidP="00F13D2F">
            <w:pPr>
              <w:pStyle w:val="TableBodyText"/>
              <w:jc w:val="right"/>
            </w:pPr>
            <w:r w:rsidRPr="00A25F2C">
              <w:t>3.9</w:t>
            </w:r>
          </w:p>
        </w:tc>
        <w:tc>
          <w:tcPr>
            <w:tcW w:w="609" w:type="pct"/>
          </w:tcPr>
          <w:p w14:paraId="4CEE8DB8" w14:textId="77777777" w:rsidR="007F4791" w:rsidRPr="00A25F2C" w:rsidRDefault="007F4791" w:rsidP="00F13D2F">
            <w:pPr>
              <w:pStyle w:val="TableBodyText"/>
              <w:jc w:val="right"/>
            </w:pPr>
            <w:r w:rsidRPr="00A25F2C">
              <w:t>3.9</w:t>
            </w:r>
          </w:p>
        </w:tc>
        <w:tc>
          <w:tcPr>
            <w:tcW w:w="472" w:type="pct"/>
          </w:tcPr>
          <w:p w14:paraId="76BFBCFC" w14:textId="77777777" w:rsidR="007F4791" w:rsidRPr="00A25F2C" w:rsidRDefault="007F4791" w:rsidP="00F13D2F">
            <w:pPr>
              <w:pStyle w:val="TableBodyText"/>
              <w:jc w:val="right"/>
            </w:pPr>
            <w:r w:rsidRPr="00A25F2C">
              <w:t>3.8</w:t>
            </w:r>
          </w:p>
        </w:tc>
        <w:tc>
          <w:tcPr>
            <w:tcW w:w="471" w:type="pct"/>
          </w:tcPr>
          <w:p w14:paraId="34C1F407" w14:textId="77777777" w:rsidR="007F4791" w:rsidRPr="00A25F2C" w:rsidRDefault="007F4791" w:rsidP="00F13D2F">
            <w:pPr>
              <w:pStyle w:val="TableBodyText"/>
              <w:jc w:val="right"/>
            </w:pPr>
            <w:r w:rsidRPr="00A25F2C">
              <w:t>3.7</w:t>
            </w:r>
          </w:p>
        </w:tc>
        <w:tc>
          <w:tcPr>
            <w:tcW w:w="472" w:type="pct"/>
          </w:tcPr>
          <w:p w14:paraId="0FBB7A5A" w14:textId="77777777" w:rsidR="007F4791" w:rsidRPr="00A25F2C" w:rsidRDefault="007F4791" w:rsidP="00F13D2F">
            <w:pPr>
              <w:pStyle w:val="TableBodyText"/>
              <w:jc w:val="right"/>
            </w:pPr>
            <w:r w:rsidRPr="00A25F2C">
              <w:t>3.3</w:t>
            </w:r>
          </w:p>
        </w:tc>
        <w:tc>
          <w:tcPr>
            <w:tcW w:w="470" w:type="pct"/>
          </w:tcPr>
          <w:p w14:paraId="26517EF3" w14:textId="77777777" w:rsidR="007F4791" w:rsidRPr="00A25F2C" w:rsidRDefault="007F4791" w:rsidP="00F13D2F">
            <w:pPr>
              <w:pStyle w:val="TableBodyText"/>
              <w:jc w:val="right"/>
            </w:pPr>
            <w:r w:rsidRPr="00A25F2C">
              <w:t>3.2</w:t>
            </w:r>
          </w:p>
        </w:tc>
        <w:tc>
          <w:tcPr>
            <w:tcW w:w="447" w:type="pct"/>
          </w:tcPr>
          <w:p w14:paraId="1F800938" w14:textId="77777777" w:rsidR="007F4791" w:rsidRPr="00A25F2C" w:rsidRDefault="007F4791" w:rsidP="00F13D2F">
            <w:pPr>
              <w:pStyle w:val="TableBodyText"/>
              <w:jc w:val="right"/>
            </w:pPr>
            <w:r w:rsidRPr="00A25F2C">
              <w:t>2.8</w:t>
            </w:r>
          </w:p>
        </w:tc>
      </w:tr>
      <w:tr w:rsidR="007F4791" w:rsidRPr="00A25F2C" w14:paraId="6F29BF11" w14:textId="77777777" w:rsidTr="00F13D2F">
        <w:tc>
          <w:tcPr>
            <w:tcW w:w="1470" w:type="pct"/>
          </w:tcPr>
          <w:p w14:paraId="0FE9ADBE" w14:textId="77777777" w:rsidR="007F4791" w:rsidRPr="00A25F2C" w:rsidRDefault="007F4791" w:rsidP="004E1FA1">
            <w:pPr>
              <w:pStyle w:val="TableBodyText"/>
            </w:pPr>
            <w:r w:rsidRPr="00A25F2C">
              <w:t>Works in Progress / Asset Write-off</w:t>
            </w:r>
          </w:p>
        </w:tc>
        <w:tc>
          <w:tcPr>
            <w:tcW w:w="588" w:type="pct"/>
          </w:tcPr>
          <w:p w14:paraId="12BB1BC2" w14:textId="77777777" w:rsidR="007F4791" w:rsidRPr="00A25F2C" w:rsidRDefault="007F4791" w:rsidP="00F13D2F">
            <w:pPr>
              <w:pStyle w:val="TableBodyText"/>
              <w:jc w:val="right"/>
            </w:pPr>
            <w:r w:rsidRPr="00A25F2C">
              <w:t>0.0</w:t>
            </w:r>
          </w:p>
        </w:tc>
        <w:tc>
          <w:tcPr>
            <w:tcW w:w="609" w:type="pct"/>
          </w:tcPr>
          <w:p w14:paraId="2F248AC3" w14:textId="77777777" w:rsidR="007F4791" w:rsidRPr="00A25F2C" w:rsidRDefault="007F4791" w:rsidP="00F13D2F">
            <w:pPr>
              <w:pStyle w:val="TableBodyText"/>
              <w:jc w:val="right"/>
            </w:pPr>
            <w:r w:rsidRPr="00A25F2C">
              <w:t>0.0</w:t>
            </w:r>
          </w:p>
        </w:tc>
        <w:tc>
          <w:tcPr>
            <w:tcW w:w="472" w:type="pct"/>
          </w:tcPr>
          <w:p w14:paraId="27EC37E7" w14:textId="77777777" w:rsidR="007F4791" w:rsidRPr="00A25F2C" w:rsidRDefault="007F4791" w:rsidP="00F13D2F">
            <w:pPr>
              <w:pStyle w:val="TableBodyText"/>
              <w:jc w:val="right"/>
            </w:pPr>
            <w:r w:rsidRPr="00A25F2C">
              <w:t>0.0</w:t>
            </w:r>
          </w:p>
        </w:tc>
        <w:tc>
          <w:tcPr>
            <w:tcW w:w="471" w:type="pct"/>
          </w:tcPr>
          <w:p w14:paraId="2C296353" w14:textId="77777777" w:rsidR="007F4791" w:rsidRPr="00A25F2C" w:rsidRDefault="007F4791" w:rsidP="00F13D2F">
            <w:pPr>
              <w:pStyle w:val="TableBodyText"/>
              <w:jc w:val="right"/>
            </w:pPr>
            <w:r w:rsidRPr="00A25F2C">
              <w:t>0.0</w:t>
            </w:r>
          </w:p>
        </w:tc>
        <w:tc>
          <w:tcPr>
            <w:tcW w:w="472" w:type="pct"/>
          </w:tcPr>
          <w:p w14:paraId="4AD428CA" w14:textId="77777777" w:rsidR="007F4791" w:rsidRPr="00A25F2C" w:rsidRDefault="007F4791" w:rsidP="00F13D2F">
            <w:pPr>
              <w:pStyle w:val="TableBodyText"/>
              <w:jc w:val="right"/>
            </w:pPr>
            <w:r w:rsidRPr="00A25F2C">
              <w:t>0.0</w:t>
            </w:r>
          </w:p>
        </w:tc>
        <w:tc>
          <w:tcPr>
            <w:tcW w:w="470" w:type="pct"/>
          </w:tcPr>
          <w:p w14:paraId="482DABB8" w14:textId="77777777" w:rsidR="007F4791" w:rsidRPr="00A25F2C" w:rsidRDefault="007F4791" w:rsidP="00F13D2F">
            <w:pPr>
              <w:pStyle w:val="TableBodyText"/>
              <w:jc w:val="right"/>
            </w:pPr>
            <w:r w:rsidRPr="00A25F2C">
              <w:t>0.0</w:t>
            </w:r>
          </w:p>
        </w:tc>
        <w:tc>
          <w:tcPr>
            <w:tcW w:w="447" w:type="pct"/>
          </w:tcPr>
          <w:p w14:paraId="1B217F9F" w14:textId="77777777" w:rsidR="007F4791" w:rsidRPr="00A25F2C" w:rsidRDefault="007F4791" w:rsidP="00F13D2F">
            <w:pPr>
              <w:pStyle w:val="TableBodyText"/>
              <w:jc w:val="right"/>
            </w:pPr>
            <w:r w:rsidRPr="00A25F2C">
              <w:t>0.0</w:t>
            </w:r>
          </w:p>
        </w:tc>
      </w:tr>
      <w:tr w:rsidR="007F4791" w:rsidRPr="00A25F2C" w14:paraId="3699B8A0" w14:textId="77777777" w:rsidTr="00F13D2F">
        <w:tc>
          <w:tcPr>
            <w:tcW w:w="1470" w:type="pct"/>
          </w:tcPr>
          <w:p w14:paraId="2F93D3E1" w14:textId="77777777" w:rsidR="007F4791" w:rsidRPr="00A25F2C" w:rsidRDefault="007F4791" w:rsidP="004E1FA1">
            <w:pPr>
              <w:pStyle w:val="TableBodyText"/>
            </w:pPr>
            <w:r w:rsidRPr="00A25F2C">
              <w:rPr>
                <w:b/>
              </w:rPr>
              <w:t>EBIT</w:t>
            </w:r>
          </w:p>
        </w:tc>
        <w:tc>
          <w:tcPr>
            <w:tcW w:w="588" w:type="pct"/>
          </w:tcPr>
          <w:p w14:paraId="55343D5F" w14:textId="77777777" w:rsidR="007F4791" w:rsidRPr="00A25F2C" w:rsidRDefault="007F4791" w:rsidP="00F13D2F">
            <w:pPr>
              <w:pStyle w:val="TableBodyText"/>
              <w:jc w:val="right"/>
            </w:pPr>
            <w:r w:rsidRPr="00A25F2C">
              <w:rPr>
                <w:b/>
              </w:rPr>
              <w:t>(2.9)</w:t>
            </w:r>
          </w:p>
        </w:tc>
        <w:tc>
          <w:tcPr>
            <w:tcW w:w="609" w:type="pct"/>
          </w:tcPr>
          <w:p w14:paraId="50234F29" w14:textId="77777777" w:rsidR="007F4791" w:rsidRPr="00A25F2C" w:rsidRDefault="007F4791" w:rsidP="00F13D2F">
            <w:pPr>
              <w:pStyle w:val="TableBodyText"/>
              <w:jc w:val="right"/>
            </w:pPr>
            <w:r w:rsidRPr="00A25F2C">
              <w:rPr>
                <w:b/>
              </w:rPr>
              <w:t>(3.8)</w:t>
            </w:r>
          </w:p>
        </w:tc>
        <w:tc>
          <w:tcPr>
            <w:tcW w:w="472" w:type="pct"/>
          </w:tcPr>
          <w:p w14:paraId="75A0B614" w14:textId="77777777" w:rsidR="007F4791" w:rsidRPr="00A25F2C" w:rsidRDefault="007F4791" w:rsidP="00F13D2F">
            <w:pPr>
              <w:pStyle w:val="TableBodyText"/>
              <w:jc w:val="right"/>
            </w:pPr>
            <w:r w:rsidRPr="00A25F2C">
              <w:rPr>
                <w:b/>
              </w:rPr>
              <w:t>(3.5)</w:t>
            </w:r>
          </w:p>
        </w:tc>
        <w:tc>
          <w:tcPr>
            <w:tcW w:w="471" w:type="pct"/>
          </w:tcPr>
          <w:p w14:paraId="31760378" w14:textId="77777777" w:rsidR="007F4791" w:rsidRPr="00A25F2C" w:rsidRDefault="007F4791" w:rsidP="00F13D2F">
            <w:pPr>
              <w:pStyle w:val="TableBodyText"/>
              <w:jc w:val="right"/>
            </w:pPr>
            <w:r w:rsidRPr="00A25F2C">
              <w:rPr>
                <w:b/>
              </w:rPr>
              <w:t>(3.3)</w:t>
            </w:r>
          </w:p>
        </w:tc>
        <w:tc>
          <w:tcPr>
            <w:tcW w:w="472" w:type="pct"/>
          </w:tcPr>
          <w:p w14:paraId="176FE325" w14:textId="77777777" w:rsidR="007F4791" w:rsidRPr="00A25F2C" w:rsidRDefault="007F4791" w:rsidP="00F13D2F">
            <w:pPr>
              <w:pStyle w:val="TableBodyText"/>
              <w:jc w:val="right"/>
            </w:pPr>
            <w:r w:rsidRPr="00A25F2C">
              <w:rPr>
                <w:b/>
              </w:rPr>
              <w:t>(2.9)</w:t>
            </w:r>
          </w:p>
        </w:tc>
        <w:tc>
          <w:tcPr>
            <w:tcW w:w="470" w:type="pct"/>
          </w:tcPr>
          <w:p w14:paraId="3A69C008" w14:textId="77777777" w:rsidR="007F4791" w:rsidRPr="00A25F2C" w:rsidRDefault="007F4791" w:rsidP="00F13D2F">
            <w:pPr>
              <w:pStyle w:val="TableBodyText"/>
              <w:jc w:val="right"/>
            </w:pPr>
            <w:r w:rsidRPr="00A25F2C">
              <w:rPr>
                <w:b/>
              </w:rPr>
              <w:t>(2.7)</w:t>
            </w:r>
          </w:p>
        </w:tc>
        <w:tc>
          <w:tcPr>
            <w:tcW w:w="447" w:type="pct"/>
          </w:tcPr>
          <w:p w14:paraId="05F8D896" w14:textId="77777777" w:rsidR="007F4791" w:rsidRPr="00A25F2C" w:rsidRDefault="007F4791" w:rsidP="00F13D2F">
            <w:pPr>
              <w:pStyle w:val="TableBodyText"/>
              <w:jc w:val="right"/>
              <w:rPr>
                <w:b/>
              </w:rPr>
            </w:pPr>
            <w:r w:rsidRPr="00A25F2C">
              <w:rPr>
                <w:b/>
              </w:rPr>
              <w:t>(2.3)</w:t>
            </w:r>
          </w:p>
        </w:tc>
      </w:tr>
    </w:tbl>
    <w:p w14:paraId="3DA1A2A8" w14:textId="548DEC60" w:rsidR="00143D6B" w:rsidRDefault="007F4791" w:rsidP="00E65500">
      <w:pPr>
        <w:pStyle w:val="BodyText"/>
        <w:spacing w:before="60"/>
      </w:pPr>
      <w:r w:rsidRPr="00A25F2C">
        <w:t>All tables subject to rounding</w:t>
      </w:r>
    </w:p>
    <w:p w14:paraId="11793BF0" w14:textId="7AEEFD6B" w:rsidR="007F4791" w:rsidRPr="00A25F2C" w:rsidRDefault="0086694E" w:rsidP="0086694E">
      <w:pPr>
        <w:pStyle w:val="Caption"/>
      </w:pPr>
      <w:r w:rsidRPr="0086694E">
        <w:t>Table E21 – EBIT by Service – Corporate</w:t>
      </w:r>
    </w:p>
    <w:tbl>
      <w:tblPr>
        <w:tblStyle w:val="TableProfessional"/>
        <w:tblW w:w="5000" w:type="pct"/>
        <w:tblLook w:val="0620" w:firstRow="1" w:lastRow="0" w:firstColumn="0" w:lastColumn="0" w:noHBand="1" w:noVBand="1"/>
      </w:tblPr>
      <w:tblGrid>
        <w:gridCol w:w="2979"/>
        <w:gridCol w:w="949"/>
        <w:gridCol w:w="949"/>
        <w:gridCol w:w="950"/>
        <w:gridCol w:w="952"/>
        <w:gridCol w:w="950"/>
        <w:gridCol w:w="950"/>
        <w:gridCol w:w="952"/>
      </w:tblGrid>
      <w:tr w:rsidR="00F13D2F" w:rsidRPr="00A25F2C" w14:paraId="60E74C64" w14:textId="77777777" w:rsidTr="00F13D2F">
        <w:trPr>
          <w:cnfStyle w:val="100000000000" w:firstRow="1" w:lastRow="0" w:firstColumn="0" w:lastColumn="0" w:oddVBand="0" w:evenVBand="0" w:oddHBand="0" w:evenHBand="0" w:firstRowFirstColumn="0" w:firstRowLastColumn="0" w:lastRowFirstColumn="0" w:lastRowLastColumn="0"/>
        </w:trPr>
        <w:tc>
          <w:tcPr>
            <w:tcW w:w="1547" w:type="pct"/>
          </w:tcPr>
          <w:p w14:paraId="72FD110B" w14:textId="4D4B1E7F" w:rsidR="007F4791" w:rsidRPr="00A25F2C" w:rsidRDefault="007F4791" w:rsidP="004E1FA1">
            <w:pPr>
              <w:pStyle w:val="TableBodyText"/>
            </w:pPr>
            <w:r w:rsidRPr="00A25F2C">
              <w:t xml:space="preserve">Nominal </w:t>
            </w:r>
            <w:r w:rsidR="00E65500">
              <w:t>$ million</w:t>
            </w:r>
          </w:p>
        </w:tc>
        <w:tc>
          <w:tcPr>
            <w:tcW w:w="493" w:type="pct"/>
          </w:tcPr>
          <w:p w14:paraId="7183CF4D" w14:textId="77777777" w:rsidR="007F4791" w:rsidRPr="00A25F2C" w:rsidRDefault="007F4791" w:rsidP="00F13D2F">
            <w:pPr>
              <w:pStyle w:val="TableBodyText"/>
              <w:jc w:val="right"/>
            </w:pPr>
            <w:r w:rsidRPr="00A25F2C">
              <w:t>2022-23</w:t>
            </w:r>
          </w:p>
          <w:p w14:paraId="68B4A3FF" w14:textId="77777777" w:rsidR="007F4791" w:rsidRPr="00A25F2C" w:rsidRDefault="007F4791" w:rsidP="00F13D2F">
            <w:pPr>
              <w:pStyle w:val="TableBodyText"/>
              <w:jc w:val="right"/>
            </w:pPr>
            <w:r w:rsidRPr="00A25F2C">
              <w:t>FCT</w:t>
            </w:r>
          </w:p>
        </w:tc>
        <w:tc>
          <w:tcPr>
            <w:tcW w:w="493" w:type="pct"/>
          </w:tcPr>
          <w:p w14:paraId="7504648C" w14:textId="77777777" w:rsidR="007F4791" w:rsidRPr="00A25F2C" w:rsidRDefault="007F4791" w:rsidP="00F13D2F">
            <w:pPr>
              <w:pStyle w:val="TableBodyText"/>
              <w:jc w:val="right"/>
            </w:pPr>
            <w:r w:rsidRPr="00A25F2C">
              <w:t>2022-23</w:t>
            </w:r>
          </w:p>
          <w:p w14:paraId="449232D0" w14:textId="77777777" w:rsidR="007F4791" w:rsidRPr="00A25F2C" w:rsidRDefault="007F4791" w:rsidP="00F13D2F">
            <w:pPr>
              <w:pStyle w:val="TableBodyText"/>
              <w:jc w:val="right"/>
            </w:pPr>
            <w:r w:rsidRPr="00A25F2C">
              <w:t>PLAN</w:t>
            </w:r>
          </w:p>
        </w:tc>
        <w:tc>
          <w:tcPr>
            <w:tcW w:w="493" w:type="pct"/>
          </w:tcPr>
          <w:p w14:paraId="37B43B64" w14:textId="77777777" w:rsidR="007F4791" w:rsidRPr="00A25F2C" w:rsidRDefault="007F4791" w:rsidP="00F13D2F">
            <w:pPr>
              <w:pStyle w:val="TableBodyText"/>
              <w:jc w:val="right"/>
            </w:pPr>
            <w:r w:rsidRPr="00A25F2C">
              <w:t>2023-24</w:t>
            </w:r>
          </w:p>
        </w:tc>
        <w:tc>
          <w:tcPr>
            <w:tcW w:w="494" w:type="pct"/>
          </w:tcPr>
          <w:p w14:paraId="18573F67" w14:textId="77777777" w:rsidR="007F4791" w:rsidRPr="00A25F2C" w:rsidRDefault="007F4791" w:rsidP="00F13D2F">
            <w:pPr>
              <w:pStyle w:val="TableBodyText"/>
              <w:jc w:val="right"/>
            </w:pPr>
            <w:r w:rsidRPr="00A25F2C">
              <w:t>2024-25</w:t>
            </w:r>
          </w:p>
        </w:tc>
        <w:tc>
          <w:tcPr>
            <w:tcW w:w="493" w:type="pct"/>
          </w:tcPr>
          <w:p w14:paraId="6627FE40" w14:textId="77777777" w:rsidR="007F4791" w:rsidRPr="00A25F2C" w:rsidRDefault="007F4791" w:rsidP="00F13D2F">
            <w:pPr>
              <w:pStyle w:val="TableBodyText"/>
              <w:jc w:val="right"/>
            </w:pPr>
            <w:r w:rsidRPr="00A25F2C">
              <w:t>2025-26</w:t>
            </w:r>
          </w:p>
        </w:tc>
        <w:tc>
          <w:tcPr>
            <w:tcW w:w="493" w:type="pct"/>
          </w:tcPr>
          <w:p w14:paraId="2751C10E" w14:textId="77777777" w:rsidR="007F4791" w:rsidRPr="00A25F2C" w:rsidRDefault="007F4791" w:rsidP="00F13D2F">
            <w:pPr>
              <w:pStyle w:val="TableBodyText"/>
              <w:jc w:val="right"/>
            </w:pPr>
            <w:r w:rsidRPr="00A25F2C">
              <w:t>2026-27</w:t>
            </w:r>
          </w:p>
        </w:tc>
        <w:tc>
          <w:tcPr>
            <w:tcW w:w="494" w:type="pct"/>
          </w:tcPr>
          <w:p w14:paraId="06680DD5" w14:textId="77777777" w:rsidR="007F4791" w:rsidRPr="00A25F2C" w:rsidRDefault="007F4791" w:rsidP="00F13D2F">
            <w:pPr>
              <w:pStyle w:val="TableBodyText"/>
              <w:jc w:val="right"/>
            </w:pPr>
            <w:r w:rsidRPr="00A25F2C">
              <w:t>2027-28</w:t>
            </w:r>
          </w:p>
        </w:tc>
      </w:tr>
      <w:tr w:rsidR="007F4791" w:rsidRPr="00A25F2C" w14:paraId="5A8A0DDF" w14:textId="77777777" w:rsidTr="00F13D2F">
        <w:tc>
          <w:tcPr>
            <w:tcW w:w="1547" w:type="pct"/>
          </w:tcPr>
          <w:p w14:paraId="246A7205" w14:textId="77777777" w:rsidR="007F4791" w:rsidRPr="00A25F2C" w:rsidRDefault="007F4791" w:rsidP="004E1FA1">
            <w:pPr>
              <w:pStyle w:val="TableBodyText"/>
            </w:pPr>
            <w:r w:rsidRPr="00A25F2C">
              <w:t>Net Asset Sales</w:t>
            </w:r>
          </w:p>
        </w:tc>
        <w:tc>
          <w:tcPr>
            <w:tcW w:w="493" w:type="pct"/>
          </w:tcPr>
          <w:p w14:paraId="22A4ED8E" w14:textId="77777777" w:rsidR="007F4791" w:rsidRPr="00A25F2C" w:rsidRDefault="007F4791" w:rsidP="00F13D2F">
            <w:pPr>
              <w:pStyle w:val="TableBodyText"/>
              <w:jc w:val="right"/>
            </w:pPr>
            <w:r w:rsidRPr="00A25F2C">
              <w:t>0.7</w:t>
            </w:r>
          </w:p>
        </w:tc>
        <w:tc>
          <w:tcPr>
            <w:tcW w:w="493" w:type="pct"/>
          </w:tcPr>
          <w:p w14:paraId="2C3A1BDB" w14:textId="77777777" w:rsidR="007F4791" w:rsidRPr="00A25F2C" w:rsidRDefault="007F4791" w:rsidP="00F13D2F">
            <w:pPr>
              <w:pStyle w:val="TableBodyText"/>
              <w:jc w:val="right"/>
            </w:pPr>
            <w:r w:rsidRPr="00A25F2C">
              <w:t>0.1</w:t>
            </w:r>
          </w:p>
        </w:tc>
        <w:tc>
          <w:tcPr>
            <w:tcW w:w="493" w:type="pct"/>
          </w:tcPr>
          <w:p w14:paraId="4C4B6E09" w14:textId="05CAC5A9" w:rsidR="007F4791" w:rsidRPr="00A25F2C" w:rsidRDefault="00995D31" w:rsidP="00F13D2F">
            <w:pPr>
              <w:pStyle w:val="TableBodyText"/>
              <w:jc w:val="right"/>
            </w:pPr>
            <w:r>
              <w:t>N/A</w:t>
            </w:r>
          </w:p>
        </w:tc>
        <w:tc>
          <w:tcPr>
            <w:tcW w:w="494" w:type="pct"/>
          </w:tcPr>
          <w:p w14:paraId="04C92212" w14:textId="55B38CC3" w:rsidR="007F4791" w:rsidRPr="00A25F2C" w:rsidRDefault="00995D31" w:rsidP="00F13D2F">
            <w:pPr>
              <w:pStyle w:val="TableBodyText"/>
              <w:jc w:val="right"/>
            </w:pPr>
            <w:r>
              <w:t>N/A</w:t>
            </w:r>
          </w:p>
        </w:tc>
        <w:tc>
          <w:tcPr>
            <w:tcW w:w="493" w:type="pct"/>
          </w:tcPr>
          <w:p w14:paraId="332CB500" w14:textId="074D59E9" w:rsidR="007F4791" w:rsidRPr="00A25F2C" w:rsidRDefault="00995D31" w:rsidP="00F13D2F">
            <w:pPr>
              <w:pStyle w:val="TableBodyText"/>
              <w:jc w:val="right"/>
            </w:pPr>
            <w:r>
              <w:t>N/A</w:t>
            </w:r>
          </w:p>
        </w:tc>
        <w:tc>
          <w:tcPr>
            <w:tcW w:w="493" w:type="pct"/>
          </w:tcPr>
          <w:p w14:paraId="55289E23" w14:textId="47EEB8B4" w:rsidR="007F4791" w:rsidRPr="00A25F2C" w:rsidRDefault="00995D31" w:rsidP="00F13D2F">
            <w:pPr>
              <w:pStyle w:val="TableBodyText"/>
              <w:jc w:val="right"/>
            </w:pPr>
            <w:r>
              <w:t>N/A</w:t>
            </w:r>
          </w:p>
        </w:tc>
        <w:tc>
          <w:tcPr>
            <w:tcW w:w="494" w:type="pct"/>
          </w:tcPr>
          <w:p w14:paraId="12477617" w14:textId="6370593B" w:rsidR="007F4791" w:rsidRPr="00A25F2C" w:rsidRDefault="00995D31" w:rsidP="00F13D2F">
            <w:pPr>
              <w:pStyle w:val="TableBodyText"/>
              <w:jc w:val="right"/>
            </w:pPr>
            <w:r>
              <w:t>N/A</w:t>
            </w:r>
          </w:p>
        </w:tc>
      </w:tr>
      <w:tr w:rsidR="007F4791" w:rsidRPr="00A25F2C" w14:paraId="0CD1738B" w14:textId="77777777" w:rsidTr="00F13D2F">
        <w:tc>
          <w:tcPr>
            <w:tcW w:w="1547" w:type="pct"/>
          </w:tcPr>
          <w:p w14:paraId="7D4302B8" w14:textId="77777777" w:rsidR="007F4791" w:rsidRPr="00A25F2C" w:rsidRDefault="007F4791" w:rsidP="004E1FA1">
            <w:pPr>
              <w:pStyle w:val="TableBodyText"/>
            </w:pPr>
            <w:r w:rsidRPr="00A25F2C">
              <w:t>Other Revenue</w:t>
            </w:r>
          </w:p>
        </w:tc>
        <w:tc>
          <w:tcPr>
            <w:tcW w:w="493" w:type="pct"/>
          </w:tcPr>
          <w:p w14:paraId="0ECC3D77" w14:textId="77777777" w:rsidR="007F4791" w:rsidRPr="00A25F2C" w:rsidRDefault="007F4791" w:rsidP="00F13D2F">
            <w:pPr>
              <w:pStyle w:val="TableBodyText"/>
              <w:jc w:val="right"/>
            </w:pPr>
            <w:r w:rsidRPr="00A25F2C">
              <w:t>3.4</w:t>
            </w:r>
          </w:p>
        </w:tc>
        <w:tc>
          <w:tcPr>
            <w:tcW w:w="493" w:type="pct"/>
          </w:tcPr>
          <w:p w14:paraId="4C5EB201" w14:textId="77777777" w:rsidR="007F4791" w:rsidRPr="00A25F2C" w:rsidRDefault="007F4791" w:rsidP="00F13D2F">
            <w:pPr>
              <w:pStyle w:val="TableBodyText"/>
              <w:jc w:val="right"/>
            </w:pPr>
            <w:r w:rsidRPr="00A25F2C">
              <w:t>3.4</w:t>
            </w:r>
          </w:p>
        </w:tc>
        <w:tc>
          <w:tcPr>
            <w:tcW w:w="493" w:type="pct"/>
          </w:tcPr>
          <w:p w14:paraId="67DFBDE8" w14:textId="77777777" w:rsidR="007F4791" w:rsidRPr="00A25F2C" w:rsidRDefault="007F4791" w:rsidP="00F13D2F">
            <w:pPr>
              <w:pStyle w:val="TableBodyText"/>
              <w:jc w:val="right"/>
            </w:pPr>
            <w:r w:rsidRPr="00A25F2C">
              <w:t>3.4</w:t>
            </w:r>
          </w:p>
        </w:tc>
        <w:tc>
          <w:tcPr>
            <w:tcW w:w="494" w:type="pct"/>
          </w:tcPr>
          <w:p w14:paraId="0D855C8E" w14:textId="77777777" w:rsidR="007F4791" w:rsidRPr="00A25F2C" w:rsidRDefault="007F4791" w:rsidP="00F13D2F">
            <w:pPr>
              <w:pStyle w:val="TableBodyText"/>
              <w:jc w:val="right"/>
            </w:pPr>
            <w:r w:rsidRPr="00A25F2C">
              <w:t>3.5</w:t>
            </w:r>
          </w:p>
        </w:tc>
        <w:tc>
          <w:tcPr>
            <w:tcW w:w="493" w:type="pct"/>
          </w:tcPr>
          <w:p w14:paraId="503C5CF2" w14:textId="77777777" w:rsidR="007F4791" w:rsidRPr="00A25F2C" w:rsidRDefault="007F4791" w:rsidP="00F13D2F">
            <w:pPr>
              <w:pStyle w:val="TableBodyText"/>
              <w:jc w:val="right"/>
            </w:pPr>
            <w:r w:rsidRPr="00A25F2C">
              <w:t>3.6</w:t>
            </w:r>
          </w:p>
        </w:tc>
        <w:tc>
          <w:tcPr>
            <w:tcW w:w="493" w:type="pct"/>
          </w:tcPr>
          <w:p w14:paraId="36C693F2" w14:textId="77777777" w:rsidR="007F4791" w:rsidRPr="00A25F2C" w:rsidRDefault="007F4791" w:rsidP="00F13D2F">
            <w:pPr>
              <w:pStyle w:val="TableBodyText"/>
              <w:jc w:val="right"/>
            </w:pPr>
            <w:r w:rsidRPr="00A25F2C">
              <w:t>3.7</w:t>
            </w:r>
          </w:p>
        </w:tc>
        <w:tc>
          <w:tcPr>
            <w:tcW w:w="494" w:type="pct"/>
          </w:tcPr>
          <w:p w14:paraId="7B267132" w14:textId="77777777" w:rsidR="007F4791" w:rsidRPr="00A25F2C" w:rsidRDefault="007F4791" w:rsidP="00F13D2F">
            <w:pPr>
              <w:pStyle w:val="TableBodyText"/>
              <w:jc w:val="right"/>
            </w:pPr>
            <w:r w:rsidRPr="00A25F2C">
              <w:t>3.7</w:t>
            </w:r>
          </w:p>
        </w:tc>
      </w:tr>
      <w:tr w:rsidR="00F13D2F" w:rsidRPr="00A25F2C" w14:paraId="22745B1A" w14:textId="77777777" w:rsidTr="00F13D2F">
        <w:tc>
          <w:tcPr>
            <w:tcW w:w="1547" w:type="pct"/>
          </w:tcPr>
          <w:p w14:paraId="5A4A5005" w14:textId="77777777" w:rsidR="007F4791" w:rsidRPr="00A25F2C" w:rsidRDefault="007F4791" w:rsidP="004E1FA1">
            <w:pPr>
              <w:pStyle w:val="TableBodyText"/>
            </w:pPr>
            <w:r w:rsidRPr="00A25F2C">
              <w:rPr>
                <w:b/>
              </w:rPr>
              <w:t>Total Operating Revenue</w:t>
            </w:r>
          </w:p>
        </w:tc>
        <w:tc>
          <w:tcPr>
            <w:tcW w:w="493" w:type="pct"/>
          </w:tcPr>
          <w:p w14:paraId="6FECB651" w14:textId="77777777" w:rsidR="007F4791" w:rsidRPr="00A25F2C" w:rsidRDefault="007F4791" w:rsidP="00F13D2F">
            <w:pPr>
              <w:pStyle w:val="TableBodyText"/>
              <w:jc w:val="right"/>
            </w:pPr>
            <w:r w:rsidRPr="00A25F2C">
              <w:rPr>
                <w:b/>
              </w:rPr>
              <w:t>4.1</w:t>
            </w:r>
          </w:p>
        </w:tc>
        <w:tc>
          <w:tcPr>
            <w:tcW w:w="493" w:type="pct"/>
          </w:tcPr>
          <w:p w14:paraId="671B2DD8" w14:textId="77777777" w:rsidR="007F4791" w:rsidRPr="00A25F2C" w:rsidRDefault="007F4791" w:rsidP="00F13D2F">
            <w:pPr>
              <w:pStyle w:val="TableBodyText"/>
              <w:jc w:val="right"/>
            </w:pPr>
            <w:r w:rsidRPr="00A25F2C">
              <w:rPr>
                <w:b/>
              </w:rPr>
              <w:t>3.5</w:t>
            </w:r>
          </w:p>
        </w:tc>
        <w:tc>
          <w:tcPr>
            <w:tcW w:w="493" w:type="pct"/>
          </w:tcPr>
          <w:p w14:paraId="18BAB161" w14:textId="77777777" w:rsidR="007F4791" w:rsidRPr="00A25F2C" w:rsidRDefault="007F4791" w:rsidP="00F13D2F">
            <w:pPr>
              <w:pStyle w:val="TableBodyText"/>
              <w:jc w:val="right"/>
            </w:pPr>
            <w:r w:rsidRPr="00A25F2C">
              <w:rPr>
                <w:b/>
              </w:rPr>
              <w:t>3.4</w:t>
            </w:r>
          </w:p>
        </w:tc>
        <w:tc>
          <w:tcPr>
            <w:tcW w:w="494" w:type="pct"/>
          </w:tcPr>
          <w:p w14:paraId="4D339E05" w14:textId="77777777" w:rsidR="007F4791" w:rsidRPr="00A25F2C" w:rsidRDefault="007F4791" w:rsidP="00F13D2F">
            <w:pPr>
              <w:pStyle w:val="TableBodyText"/>
              <w:jc w:val="right"/>
            </w:pPr>
            <w:r w:rsidRPr="00A25F2C">
              <w:rPr>
                <w:b/>
              </w:rPr>
              <w:t>3.5</w:t>
            </w:r>
          </w:p>
        </w:tc>
        <w:tc>
          <w:tcPr>
            <w:tcW w:w="493" w:type="pct"/>
          </w:tcPr>
          <w:p w14:paraId="5042001B" w14:textId="77777777" w:rsidR="007F4791" w:rsidRPr="00A25F2C" w:rsidRDefault="007F4791" w:rsidP="00F13D2F">
            <w:pPr>
              <w:pStyle w:val="TableBodyText"/>
              <w:jc w:val="right"/>
            </w:pPr>
            <w:r w:rsidRPr="00A25F2C">
              <w:rPr>
                <w:b/>
              </w:rPr>
              <w:t>3.6</w:t>
            </w:r>
          </w:p>
        </w:tc>
        <w:tc>
          <w:tcPr>
            <w:tcW w:w="493" w:type="pct"/>
          </w:tcPr>
          <w:p w14:paraId="0F0AE0EE" w14:textId="77777777" w:rsidR="007F4791" w:rsidRPr="00A25F2C" w:rsidRDefault="007F4791" w:rsidP="00F13D2F">
            <w:pPr>
              <w:pStyle w:val="TableBodyText"/>
              <w:jc w:val="right"/>
            </w:pPr>
            <w:r w:rsidRPr="00A25F2C">
              <w:rPr>
                <w:b/>
              </w:rPr>
              <w:t>3.7</w:t>
            </w:r>
          </w:p>
        </w:tc>
        <w:tc>
          <w:tcPr>
            <w:tcW w:w="494" w:type="pct"/>
          </w:tcPr>
          <w:p w14:paraId="2F63CB20" w14:textId="77777777" w:rsidR="007F4791" w:rsidRPr="00A25F2C" w:rsidRDefault="007F4791" w:rsidP="00F13D2F">
            <w:pPr>
              <w:pStyle w:val="TableBodyText"/>
              <w:jc w:val="right"/>
              <w:rPr>
                <w:b/>
              </w:rPr>
            </w:pPr>
            <w:r w:rsidRPr="00A25F2C">
              <w:rPr>
                <w:b/>
              </w:rPr>
              <w:t>3.7</w:t>
            </w:r>
          </w:p>
        </w:tc>
      </w:tr>
      <w:tr w:rsidR="007F4791" w:rsidRPr="00A25F2C" w14:paraId="43A4335B" w14:textId="77777777" w:rsidTr="00F13D2F">
        <w:tc>
          <w:tcPr>
            <w:tcW w:w="1547" w:type="pct"/>
          </w:tcPr>
          <w:p w14:paraId="64D7AB11" w14:textId="77777777" w:rsidR="007F4791" w:rsidRPr="00A25F2C" w:rsidRDefault="007F4791" w:rsidP="004E1FA1">
            <w:pPr>
              <w:pStyle w:val="TableBodyText"/>
            </w:pPr>
            <w:r w:rsidRPr="00A25F2C">
              <w:t>Direct Operating Expenses</w:t>
            </w:r>
          </w:p>
        </w:tc>
        <w:tc>
          <w:tcPr>
            <w:tcW w:w="493" w:type="pct"/>
          </w:tcPr>
          <w:p w14:paraId="40CA94FA" w14:textId="77777777" w:rsidR="007F4791" w:rsidRPr="00A25F2C" w:rsidRDefault="007F4791" w:rsidP="00F13D2F">
            <w:pPr>
              <w:pStyle w:val="TableBodyText"/>
              <w:jc w:val="right"/>
            </w:pPr>
            <w:r w:rsidRPr="00A25F2C">
              <w:t>145.0</w:t>
            </w:r>
          </w:p>
        </w:tc>
        <w:tc>
          <w:tcPr>
            <w:tcW w:w="493" w:type="pct"/>
          </w:tcPr>
          <w:p w14:paraId="36C20094" w14:textId="77777777" w:rsidR="007F4791" w:rsidRPr="00A25F2C" w:rsidRDefault="007F4791" w:rsidP="00F13D2F">
            <w:pPr>
              <w:pStyle w:val="TableBodyText"/>
              <w:jc w:val="right"/>
            </w:pPr>
            <w:r w:rsidRPr="00A25F2C">
              <w:t>129.8</w:t>
            </w:r>
          </w:p>
        </w:tc>
        <w:tc>
          <w:tcPr>
            <w:tcW w:w="493" w:type="pct"/>
          </w:tcPr>
          <w:p w14:paraId="4B9D0BBA" w14:textId="77777777" w:rsidR="007F4791" w:rsidRPr="00A25F2C" w:rsidRDefault="007F4791" w:rsidP="00F13D2F">
            <w:pPr>
              <w:pStyle w:val="TableBodyText"/>
              <w:jc w:val="right"/>
            </w:pPr>
            <w:r w:rsidRPr="00A25F2C">
              <w:t>145.1</w:t>
            </w:r>
          </w:p>
        </w:tc>
        <w:tc>
          <w:tcPr>
            <w:tcW w:w="494" w:type="pct"/>
          </w:tcPr>
          <w:p w14:paraId="62D7AFDE" w14:textId="77777777" w:rsidR="007F4791" w:rsidRPr="00A25F2C" w:rsidRDefault="007F4791" w:rsidP="00F13D2F">
            <w:pPr>
              <w:pStyle w:val="TableBodyText"/>
              <w:jc w:val="right"/>
            </w:pPr>
            <w:r w:rsidRPr="00A25F2C">
              <w:t>148.6</w:t>
            </w:r>
          </w:p>
        </w:tc>
        <w:tc>
          <w:tcPr>
            <w:tcW w:w="493" w:type="pct"/>
          </w:tcPr>
          <w:p w14:paraId="0782B490" w14:textId="77777777" w:rsidR="007F4791" w:rsidRPr="00A25F2C" w:rsidRDefault="007F4791" w:rsidP="00F13D2F">
            <w:pPr>
              <w:pStyle w:val="TableBodyText"/>
              <w:jc w:val="right"/>
            </w:pPr>
            <w:r w:rsidRPr="00A25F2C">
              <w:t>153.4</w:t>
            </w:r>
          </w:p>
        </w:tc>
        <w:tc>
          <w:tcPr>
            <w:tcW w:w="493" w:type="pct"/>
          </w:tcPr>
          <w:p w14:paraId="3C55B4C8" w14:textId="77777777" w:rsidR="007F4791" w:rsidRPr="00A25F2C" w:rsidRDefault="007F4791" w:rsidP="00F13D2F">
            <w:pPr>
              <w:pStyle w:val="TableBodyText"/>
              <w:jc w:val="right"/>
            </w:pPr>
            <w:r w:rsidRPr="00A25F2C">
              <w:t>157.6</w:t>
            </w:r>
          </w:p>
        </w:tc>
        <w:tc>
          <w:tcPr>
            <w:tcW w:w="494" w:type="pct"/>
          </w:tcPr>
          <w:p w14:paraId="3F052689" w14:textId="77777777" w:rsidR="007F4791" w:rsidRPr="00A25F2C" w:rsidRDefault="007F4791" w:rsidP="00F13D2F">
            <w:pPr>
              <w:pStyle w:val="TableBodyText"/>
              <w:jc w:val="right"/>
            </w:pPr>
            <w:r w:rsidRPr="00A25F2C">
              <w:t>161.9</w:t>
            </w:r>
          </w:p>
        </w:tc>
      </w:tr>
      <w:tr w:rsidR="007F4791" w:rsidRPr="00A25F2C" w14:paraId="2F30239F" w14:textId="77777777" w:rsidTr="00F13D2F">
        <w:tc>
          <w:tcPr>
            <w:tcW w:w="1547" w:type="pct"/>
          </w:tcPr>
          <w:p w14:paraId="0D52FEE1" w14:textId="77777777" w:rsidR="007F4791" w:rsidRPr="00A25F2C" w:rsidRDefault="007F4791" w:rsidP="004E1FA1">
            <w:pPr>
              <w:pStyle w:val="TableBodyText"/>
            </w:pPr>
            <w:r w:rsidRPr="00A25F2C">
              <w:t>Depreciation</w:t>
            </w:r>
          </w:p>
        </w:tc>
        <w:tc>
          <w:tcPr>
            <w:tcW w:w="493" w:type="pct"/>
          </w:tcPr>
          <w:p w14:paraId="4408C8E4" w14:textId="77777777" w:rsidR="007F4791" w:rsidRPr="00A25F2C" w:rsidRDefault="007F4791" w:rsidP="00F13D2F">
            <w:pPr>
              <w:pStyle w:val="TableBodyText"/>
              <w:jc w:val="right"/>
            </w:pPr>
            <w:r w:rsidRPr="00A25F2C">
              <w:t>17.3</w:t>
            </w:r>
          </w:p>
        </w:tc>
        <w:tc>
          <w:tcPr>
            <w:tcW w:w="493" w:type="pct"/>
          </w:tcPr>
          <w:p w14:paraId="200FB3CA" w14:textId="77777777" w:rsidR="007F4791" w:rsidRPr="00A25F2C" w:rsidRDefault="007F4791" w:rsidP="00F13D2F">
            <w:pPr>
              <w:pStyle w:val="TableBodyText"/>
              <w:jc w:val="right"/>
            </w:pPr>
            <w:r w:rsidRPr="00A25F2C">
              <w:t>38.8</w:t>
            </w:r>
          </w:p>
        </w:tc>
        <w:tc>
          <w:tcPr>
            <w:tcW w:w="493" w:type="pct"/>
          </w:tcPr>
          <w:p w14:paraId="15710183" w14:textId="77777777" w:rsidR="007F4791" w:rsidRPr="00A25F2C" w:rsidRDefault="007F4791" w:rsidP="00F13D2F">
            <w:pPr>
              <w:pStyle w:val="TableBodyText"/>
              <w:jc w:val="right"/>
            </w:pPr>
            <w:r w:rsidRPr="00A25F2C">
              <w:t>19.1</w:t>
            </w:r>
          </w:p>
        </w:tc>
        <w:tc>
          <w:tcPr>
            <w:tcW w:w="494" w:type="pct"/>
          </w:tcPr>
          <w:p w14:paraId="2B53A9C0" w14:textId="77777777" w:rsidR="007F4791" w:rsidRPr="00A25F2C" w:rsidRDefault="007F4791" w:rsidP="00F13D2F">
            <w:pPr>
              <w:pStyle w:val="TableBodyText"/>
              <w:jc w:val="right"/>
            </w:pPr>
            <w:r w:rsidRPr="00A25F2C">
              <w:t>21.5</w:t>
            </w:r>
          </w:p>
        </w:tc>
        <w:tc>
          <w:tcPr>
            <w:tcW w:w="493" w:type="pct"/>
          </w:tcPr>
          <w:p w14:paraId="43A3F634" w14:textId="77777777" w:rsidR="007F4791" w:rsidRPr="00A25F2C" w:rsidRDefault="007F4791" w:rsidP="00F13D2F">
            <w:pPr>
              <w:pStyle w:val="TableBodyText"/>
              <w:jc w:val="right"/>
            </w:pPr>
            <w:r w:rsidRPr="00A25F2C">
              <w:t>22.6</w:t>
            </w:r>
          </w:p>
        </w:tc>
        <w:tc>
          <w:tcPr>
            <w:tcW w:w="493" w:type="pct"/>
          </w:tcPr>
          <w:p w14:paraId="0428FF5D" w14:textId="77777777" w:rsidR="007F4791" w:rsidRPr="00A25F2C" w:rsidRDefault="007F4791" w:rsidP="00F13D2F">
            <w:pPr>
              <w:pStyle w:val="TableBodyText"/>
              <w:jc w:val="right"/>
            </w:pPr>
            <w:r w:rsidRPr="00A25F2C">
              <w:t>20.4</w:t>
            </w:r>
          </w:p>
        </w:tc>
        <w:tc>
          <w:tcPr>
            <w:tcW w:w="494" w:type="pct"/>
          </w:tcPr>
          <w:p w14:paraId="33D9376D" w14:textId="77777777" w:rsidR="007F4791" w:rsidRPr="00A25F2C" w:rsidRDefault="007F4791" w:rsidP="00F13D2F">
            <w:pPr>
              <w:pStyle w:val="TableBodyText"/>
              <w:jc w:val="right"/>
            </w:pPr>
            <w:r w:rsidRPr="00A25F2C">
              <w:t>15.3</w:t>
            </w:r>
          </w:p>
        </w:tc>
      </w:tr>
      <w:tr w:rsidR="007F4791" w:rsidRPr="00A25F2C" w14:paraId="061391C2" w14:textId="77777777" w:rsidTr="00F13D2F">
        <w:tc>
          <w:tcPr>
            <w:tcW w:w="1547" w:type="pct"/>
          </w:tcPr>
          <w:p w14:paraId="64D34820" w14:textId="77777777" w:rsidR="007F4791" w:rsidRPr="00A25F2C" w:rsidRDefault="007F4791" w:rsidP="004E1FA1">
            <w:pPr>
              <w:pStyle w:val="TableBodyText"/>
            </w:pPr>
            <w:r w:rsidRPr="00A25F2C">
              <w:t>Works in Progress / Asset Write-off</w:t>
            </w:r>
          </w:p>
        </w:tc>
        <w:tc>
          <w:tcPr>
            <w:tcW w:w="493" w:type="pct"/>
          </w:tcPr>
          <w:p w14:paraId="1882EAC4" w14:textId="19CFB313" w:rsidR="007F4791" w:rsidRPr="00A25F2C" w:rsidRDefault="00995D31" w:rsidP="00F13D2F">
            <w:pPr>
              <w:pStyle w:val="TableBodyText"/>
              <w:jc w:val="right"/>
            </w:pPr>
            <w:r>
              <w:t>N/A</w:t>
            </w:r>
          </w:p>
        </w:tc>
        <w:tc>
          <w:tcPr>
            <w:tcW w:w="493" w:type="pct"/>
          </w:tcPr>
          <w:p w14:paraId="71750D55" w14:textId="77777777" w:rsidR="007F4791" w:rsidRPr="00A25F2C" w:rsidRDefault="007F4791" w:rsidP="00F13D2F">
            <w:pPr>
              <w:pStyle w:val="TableBodyText"/>
              <w:jc w:val="right"/>
            </w:pPr>
            <w:r w:rsidRPr="00A25F2C">
              <w:t>0.0</w:t>
            </w:r>
          </w:p>
        </w:tc>
        <w:tc>
          <w:tcPr>
            <w:tcW w:w="493" w:type="pct"/>
          </w:tcPr>
          <w:p w14:paraId="328D758F" w14:textId="6733DCDD" w:rsidR="007F4791" w:rsidRPr="00A25F2C" w:rsidRDefault="00995D31" w:rsidP="00F13D2F">
            <w:pPr>
              <w:pStyle w:val="TableBodyText"/>
              <w:jc w:val="right"/>
            </w:pPr>
            <w:r>
              <w:t>N/A</w:t>
            </w:r>
          </w:p>
        </w:tc>
        <w:tc>
          <w:tcPr>
            <w:tcW w:w="494" w:type="pct"/>
          </w:tcPr>
          <w:p w14:paraId="77E3B634" w14:textId="47501C67" w:rsidR="007F4791" w:rsidRPr="00A25F2C" w:rsidRDefault="00995D31" w:rsidP="00F13D2F">
            <w:pPr>
              <w:pStyle w:val="TableBodyText"/>
              <w:jc w:val="right"/>
            </w:pPr>
            <w:r>
              <w:t>N/A</w:t>
            </w:r>
          </w:p>
        </w:tc>
        <w:tc>
          <w:tcPr>
            <w:tcW w:w="493" w:type="pct"/>
          </w:tcPr>
          <w:p w14:paraId="75D1DF20" w14:textId="2E12D328" w:rsidR="007F4791" w:rsidRPr="00A25F2C" w:rsidRDefault="00995D31" w:rsidP="00F13D2F">
            <w:pPr>
              <w:pStyle w:val="TableBodyText"/>
              <w:jc w:val="right"/>
            </w:pPr>
            <w:r>
              <w:t>N/A</w:t>
            </w:r>
          </w:p>
        </w:tc>
        <w:tc>
          <w:tcPr>
            <w:tcW w:w="493" w:type="pct"/>
          </w:tcPr>
          <w:p w14:paraId="0F69C0BE" w14:textId="3D138B5D" w:rsidR="007F4791" w:rsidRPr="00A25F2C" w:rsidRDefault="00995D31" w:rsidP="00F13D2F">
            <w:pPr>
              <w:pStyle w:val="TableBodyText"/>
              <w:jc w:val="right"/>
            </w:pPr>
            <w:r>
              <w:t>N/A</w:t>
            </w:r>
          </w:p>
        </w:tc>
        <w:tc>
          <w:tcPr>
            <w:tcW w:w="494" w:type="pct"/>
          </w:tcPr>
          <w:p w14:paraId="67140513" w14:textId="05900996" w:rsidR="007F4791" w:rsidRPr="00A25F2C" w:rsidRDefault="00995D31" w:rsidP="00F13D2F">
            <w:pPr>
              <w:pStyle w:val="TableBodyText"/>
              <w:jc w:val="right"/>
            </w:pPr>
            <w:r>
              <w:t>N/A</w:t>
            </w:r>
          </w:p>
        </w:tc>
      </w:tr>
      <w:tr w:rsidR="00F13D2F" w:rsidRPr="00A25F2C" w14:paraId="24A98F73" w14:textId="77777777" w:rsidTr="00F13D2F">
        <w:tc>
          <w:tcPr>
            <w:tcW w:w="1547" w:type="pct"/>
          </w:tcPr>
          <w:p w14:paraId="37CB6983" w14:textId="77777777" w:rsidR="007F4791" w:rsidRPr="00A25F2C" w:rsidRDefault="007F4791" w:rsidP="004E1FA1">
            <w:pPr>
              <w:pStyle w:val="TableBodyText"/>
            </w:pPr>
            <w:r w:rsidRPr="00A25F2C">
              <w:rPr>
                <w:b/>
              </w:rPr>
              <w:t>EBIT</w:t>
            </w:r>
          </w:p>
        </w:tc>
        <w:tc>
          <w:tcPr>
            <w:tcW w:w="493" w:type="pct"/>
          </w:tcPr>
          <w:p w14:paraId="119B9C9C" w14:textId="77777777" w:rsidR="007F4791" w:rsidRPr="00A25F2C" w:rsidRDefault="007F4791" w:rsidP="00F13D2F">
            <w:pPr>
              <w:pStyle w:val="TableBodyText"/>
              <w:jc w:val="right"/>
            </w:pPr>
            <w:r w:rsidRPr="00A25F2C">
              <w:rPr>
                <w:b/>
              </w:rPr>
              <w:t>(158.2)</w:t>
            </w:r>
          </w:p>
        </w:tc>
        <w:tc>
          <w:tcPr>
            <w:tcW w:w="493" w:type="pct"/>
          </w:tcPr>
          <w:p w14:paraId="19D3D43B" w14:textId="77777777" w:rsidR="007F4791" w:rsidRPr="00A25F2C" w:rsidRDefault="007F4791" w:rsidP="00F13D2F">
            <w:pPr>
              <w:pStyle w:val="TableBodyText"/>
              <w:jc w:val="right"/>
            </w:pPr>
            <w:r w:rsidRPr="00A25F2C">
              <w:rPr>
                <w:b/>
              </w:rPr>
              <w:t>(165.1)</w:t>
            </w:r>
          </w:p>
        </w:tc>
        <w:tc>
          <w:tcPr>
            <w:tcW w:w="493" w:type="pct"/>
          </w:tcPr>
          <w:p w14:paraId="6E81A0D1" w14:textId="77777777" w:rsidR="007F4791" w:rsidRPr="00A25F2C" w:rsidRDefault="007F4791" w:rsidP="00F13D2F">
            <w:pPr>
              <w:pStyle w:val="TableBodyText"/>
              <w:jc w:val="right"/>
            </w:pPr>
            <w:r w:rsidRPr="00A25F2C">
              <w:rPr>
                <w:b/>
              </w:rPr>
              <w:t>(160.8)</w:t>
            </w:r>
          </w:p>
        </w:tc>
        <w:tc>
          <w:tcPr>
            <w:tcW w:w="494" w:type="pct"/>
          </w:tcPr>
          <w:p w14:paraId="7E035367" w14:textId="77777777" w:rsidR="007F4791" w:rsidRPr="00A25F2C" w:rsidRDefault="007F4791" w:rsidP="00F13D2F">
            <w:pPr>
              <w:pStyle w:val="TableBodyText"/>
              <w:jc w:val="right"/>
            </w:pPr>
            <w:r w:rsidRPr="00A25F2C">
              <w:rPr>
                <w:b/>
              </w:rPr>
              <w:t>(166.6)</w:t>
            </w:r>
          </w:p>
        </w:tc>
        <w:tc>
          <w:tcPr>
            <w:tcW w:w="493" w:type="pct"/>
          </w:tcPr>
          <w:p w14:paraId="60A3A2C2" w14:textId="77777777" w:rsidR="007F4791" w:rsidRPr="00A25F2C" w:rsidRDefault="007F4791" w:rsidP="00F13D2F">
            <w:pPr>
              <w:pStyle w:val="TableBodyText"/>
              <w:jc w:val="right"/>
            </w:pPr>
            <w:r w:rsidRPr="00A25F2C">
              <w:rPr>
                <w:b/>
              </w:rPr>
              <w:t>(172.4)</w:t>
            </w:r>
          </w:p>
        </w:tc>
        <w:tc>
          <w:tcPr>
            <w:tcW w:w="493" w:type="pct"/>
          </w:tcPr>
          <w:p w14:paraId="00A7CE90" w14:textId="77777777" w:rsidR="007F4791" w:rsidRPr="00A25F2C" w:rsidRDefault="007F4791" w:rsidP="00F13D2F">
            <w:pPr>
              <w:pStyle w:val="TableBodyText"/>
              <w:jc w:val="right"/>
            </w:pPr>
            <w:r w:rsidRPr="00A25F2C">
              <w:rPr>
                <w:b/>
              </w:rPr>
              <w:t>(174.3)</w:t>
            </w:r>
          </w:p>
        </w:tc>
        <w:tc>
          <w:tcPr>
            <w:tcW w:w="494" w:type="pct"/>
          </w:tcPr>
          <w:p w14:paraId="40AC14DF" w14:textId="77777777" w:rsidR="007F4791" w:rsidRPr="00A25F2C" w:rsidRDefault="007F4791" w:rsidP="00F13D2F">
            <w:pPr>
              <w:pStyle w:val="TableBodyText"/>
              <w:jc w:val="right"/>
              <w:rPr>
                <w:b/>
              </w:rPr>
            </w:pPr>
            <w:r w:rsidRPr="00A25F2C">
              <w:rPr>
                <w:b/>
              </w:rPr>
              <w:t>(173.4)</w:t>
            </w:r>
          </w:p>
        </w:tc>
      </w:tr>
    </w:tbl>
    <w:p w14:paraId="5BE883D3" w14:textId="0AC62989" w:rsidR="00143D6B" w:rsidRDefault="007F4791" w:rsidP="00E65500">
      <w:pPr>
        <w:pStyle w:val="BodyText"/>
        <w:spacing w:before="60"/>
      </w:pPr>
      <w:r w:rsidRPr="00A25F2C">
        <w:t>All tables subject to rounding</w:t>
      </w:r>
      <w:r w:rsidR="0086694E">
        <w:t>.</w:t>
      </w:r>
    </w:p>
    <w:p w14:paraId="0643760D" w14:textId="3BAA3916" w:rsidR="007F4791" w:rsidRPr="00A25F2C" w:rsidRDefault="0086694E" w:rsidP="0086694E">
      <w:pPr>
        <w:pStyle w:val="Caption"/>
      </w:pPr>
      <w:r w:rsidRPr="0086694E">
        <w:lastRenderedPageBreak/>
        <w:t>Table E22 – EBIT by Service – Total</w:t>
      </w:r>
    </w:p>
    <w:tbl>
      <w:tblPr>
        <w:tblStyle w:val="TableProfessional"/>
        <w:tblW w:w="5000" w:type="pct"/>
        <w:tblLook w:val="0620" w:firstRow="1" w:lastRow="0" w:firstColumn="0" w:lastColumn="0" w:noHBand="1" w:noVBand="1"/>
      </w:tblPr>
      <w:tblGrid>
        <w:gridCol w:w="2510"/>
        <w:gridCol w:w="1017"/>
        <w:gridCol w:w="1017"/>
        <w:gridCol w:w="1019"/>
        <w:gridCol w:w="1017"/>
        <w:gridCol w:w="1019"/>
        <w:gridCol w:w="1017"/>
        <w:gridCol w:w="1015"/>
      </w:tblGrid>
      <w:tr w:rsidR="00F13D2F" w:rsidRPr="00A25F2C" w14:paraId="256879EB" w14:textId="77777777" w:rsidTr="00F13D2F">
        <w:trPr>
          <w:cnfStyle w:val="100000000000" w:firstRow="1" w:lastRow="0" w:firstColumn="0" w:lastColumn="0" w:oddVBand="0" w:evenVBand="0" w:oddHBand="0" w:evenHBand="0" w:firstRowFirstColumn="0" w:firstRowLastColumn="0" w:lastRowFirstColumn="0" w:lastRowLastColumn="0"/>
        </w:trPr>
        <w:tc>
          <w:tcPr>
            <w:tcW w:w="1303" w:type="pct"/>
          </w:tcPr>
          <w:p w14:paraId="65148FE3" w14:textId="3A729ACB" w:rsidR="007F4791" w:rsidRPr="00A25F2C" w:rsidRDefault="007F4791" w:rsidP="004E1FA1">
            <w:pPr>
              <w:pStyle w:val="TableBodyText"/>
            </w:pPr>
            <w:r w:rsidRPr="00A25F2C">
              <w:t xml:space="preserve">Nominal </w:t>
            </w:r>
            <w:r w:rsidR="00E65500">
              <w:t>$ million</w:t>
            </w:r>
          </w:p>
        </w:tc>
        <w:tc>
          <w:tcPr>
            <w:tcW w:w="528" w:type="pct"/>
            <w:vAlign w:val="bottom"/>
          </w:tcPr>
          <w:p w14:paraId="60E0D606" w14:textId="77777777" w:rsidR="007F4791" w:rsidRPr="00A25F2C" w:rsidRDefault="007F4791" w:rsidP="00F13D2F">
            <w:pPr>
              <w:pStyle w:val="TableBodyText"/>
              <w:jc w:val="right"/>
            </w:pPr>
            <w:r w:rsidRPr="00A25F2C">
              <w:t>2022-23</w:t>
            </w:r>
          </w:p>
          <w:p w14:paraId="2C7F86DD" w14:textId="77777777" w:rsidR="007F4791" w:rsidRPr="00A25F2C" w:rsidRDefault="007F4791" w:rsidP="00F13D2F">
            <w:pPr>
              <w:pStyle w:val="TableBodyText"/>
              <w:jc w:val="right"/>
            </w:pPr>
            <w:r w:rsidRPr="00A25F2C">
              <w:t>FCT</w:t>
            </w:r>
          </w:p>
        </w:tc>
        <w:tc>
          <w:tcPr>
            <w:tcW w:w="528" w:type="pct"/>
            <w:vAlign w:val="bottom"/>
          </w:tcPr>
          <w:p w14:paraId="3365883B" w14:textId="77777777" w:rsidR="007F4791" w:rsidRPr="00A25F2C" w:rsidRDefault="007F4791" w:rsidP="00F13D2F">
            <w:pPr>
              <w:pStyle w:val="TableBodyText"/>
              <w:jc w:val="right"/>
            </w:pPr>
            <w:r w:rsidRPr="00A25F2C">
              <w:t>2022-23</w:t>
            </w:r>
          </w:p>
          <w:p w14:paraId="5927FEE6" w14:textId="77777777" w:rsidR="007F4791" w:rsidRPr="00A25F2C" w:rsidRDefault="007F4791" w:rsidP="00F13D2F">
            <w:pPr>
              <w:pStyle w:val="TableBodyText"/>
              <w:jc w:val="right"/>
            </w:pPr>
            <w:r w:rsidRPr="00A25F2C">
              <w:t>PLAN</w:t>
            </w:r>
          </w:p>
        </w:tc>
        <w:tc>
          <w:tcPr>
            <w:tcW w:w="529" w:type="pct"/>
            <w:vAlign w:val="bottom"/>
          </w:tcPr>
          <w:p w14:paraId="6E6A919F" w14:textId="77777777" w:rsidR="007F4791" w:rsidRPr="00A25F2C" w:rsidRDefault="007F4791" w:rsidP="00F13D2F">
            <w:pPr>
              <w:pStyle w:val="TableBodyText"/>
              <w:jc w:val="right"/>
            </w:pPr>
            <w:r w:rsidRPr="00A25F2C">
              <w:t>2023-24</w:t>
            </w:r>
          </w:p>
        </w:tc>
        <w:tc>
          <w:tcPr>
            <w:tcW w:w="528" w:type="pct"/>
            <w:vAlign w:val="bottom"/>
          </w:tcPr>
          <w:p w14:paraId="09617953" w14:textId="77777777" w:rsidR="007F4791" w:rsidRPr="00A25F2C" w:rsidRDefault="007F4791" w:rsidP="00F13D2F">
            <w:pPr>
              <w:pStyle w:val="TableBodyText"/>
              <w:jc w:val="right"/>
            </w:pPr>
            <w:r w:rsidRPr="00A25F2C">
              <w:t>2024-25</w:t>
            </w:r>
          </w:p>
        </w:tc>
        <w:tc>
          <w:tcPr>
            <w:tcW w:w="529" w:type="pct"/>
            <w:vAlign w:val="bottom"/>
          </w:tcPr>
          <w:p w14:paraId="7B7822AA" w14:textId="77777777" w:rsidR="007F4791" w:rsidRPr="00A25F2C" w:rsidRDefault="007F4791" w:rsidP="00F13D2F">
            <w:pPr>
              <w:pStyle w:val="TableBodyText"/>
              <w:jc w:val="right"/>
            </w:pPr>
            <w:r w:rsidRPr="00A25F2C">
              <w:t>2025-26</w:t>
            </w:r>
          </w:p>
        </w:tc>
        <w:tc>
          <w:tcPr>
            <w:tcW w:w="528" w:type="pct"/>
            <w:vAlign w:val="bottom"/>
          </w:tcPr>
          <w:p w14:paraId="4AD6D8D5" w14:textId="77777777" w:rsidR="007F4791" w:rsidRPr="00A25F2C" w:rsidRDefault="007F4791" w:rsidP="00F13D2F">
            <w:pPr>
              <w:pStyle w:val="TableBodyText"/>
              <w:jc w:val="right"/>
            </w:pPr>
            <w:r w:rsidRPr="00A25F2C">
              <w:t>2026-27</w:t>
            </w:r>
          </w:p>
        </w:tc>
        <w:tc>
          <w:tcPr>
            <w:tcW w:w="529" w:type="pct"/>
            <w:vAlign w:val="bottom"/>
          </w:tcPr>
          <w:p w14:paraId="2F492DA2" w14:textId="77777777" w:rsidR="007F4791" w:rsidRPr="00A25F2C" w:rsidRDefault="007F4791" w:rsidP="00F13D2F">
            <w:pPr>
              <w:pStyle w:val="TableBodyText"/>
              <w:jc w:val="right"/>
            </w:pPr>
            <w:r w:rsidRPr="00A25F2C">
              <w:t>2027-28</w:t>
            </w:r>
          </w:p>
        </w:tc>
      </w:tr>
      <w:tr w:rsidR="00F13D2F" w:rsidRPr="00A25F2C" w14:paraId="519D8DBB" w14:textId="77777777" w:rsidTr="00F13D2F">
        <w:tc>
          <w:tcPr>
            <w:tcW w:w="1303" w:type="pct"/>
          </w:tcPr>
          <w:p w14:paraId="3419EC96" w14:textId="77777777" w:rsidR="007F4791" w:rsidRPr="00A25F2C" w:rsidRDefault="007F4791" w:rsidP="004E1FA1">
            <w:pPr>
              <w:pStyle w:val="TableBodyText"/>
            </w:pPr>
            <w:r w:rsidRPr="00A25F2C">
              <w:rPr>
                <w:b/>
              </w:rPr>
              <w:t>Total Operating Revenue</w:t>
            </w:r>
          </w:p>
        </w:tc>
        <w:tc>
          <w:tcPr>
            <w:tcW w:w="528" w:type="pct"/>
          </w:tcPr>
          <w:p w14:paraId="61960384" w14:textId="77777777" w:rsidR="007F4791" w:rsidRPr="00E65500" w:rsidRDefault="007F4791" w:rsidP="00F13D2F">
            <w:pPr>
              <w:pStyle w:val="TableBodyText"/>
              <w:jc w:val="right"/>
              <w:rPr>
                <w:bCs/>
              </w:rPr>
            </w:pPr>
            <w:r w:rsidRPr="00E65500">
              <w:rPr>
                <w:bCs/>
              </w:rPr>
              <w:t>1,861.1</w:t>
            </w:r>
          </w:p>
        </w:tc>
        <w:tc>
          <w:tcPr>
            <w:tcW w:w="528" w:type="pct"/>
          </w:tcPr>
          <w:p w14:paraId="5311D4AA" w14:textId="77777777" w:rsidR="007F4791" w:rsidRPr="00E65500" w:rsidRDefault="007F4791" w:rsidP="00F13D2F">
            <w:pPr>
              <w:pStyle w:val="TableBodyText"/>
              <w:jc w:val="right"/>
              <w:rPr>
                <w:bCs/>
              </w:rPr>
            </w:pPr>
            <w:r w:rsidRPr="00E65500">
              <w:rPr>
                <w:bCs/>
              </w:rPr>
              <w:t>1,839.0</w:t>
            </w:r>
          </w:p>
        </w:tc>
        <w:tc>
          <w:tcPr>
            <w:tcW w:w="529" w:type="pct"/>
          </w:tcPr>
          <w:p w14:paraId="6E18654E" w14:textId="77777777" w:rsidR="007F4791" w:rsidRPr="00E65500" w:rsidRDefault="007F4791" w:rsidP="00F13D2F">
            <w:pPr>
              <w:pStyle w:val="TableBodyText"/>
              <w:jc w:val="right"/>
              <w:rPr>
                <w:bCs/>
              </w:rPr>
            </w:pPr>
            <w:r w:rsidRPr="00E65500">
              <w:rPr>
                <w:bCs/>
              </w:rPr>
              <w:t>2,007.3</w:t>
            </w:r>
          </w:p>
        </w:tc>
        <w:tc>
          <w:tcPr>
            <w:tcW w:w="528" w:type="pct"/>
          </w:tcPr>
          <w:p w14:paraId="38F36297" w14:textId="77777777" w:rsidR="007F4791" w:rsidRPr="00E65500" w:rsidRDefault="007F4791" w:rsidP="00F13D2F">
            <w:pPr>
              <w:pStyle w:val="TableBodyText"/>
              <w:jc w:val="right"/>
              <w:rPr>
                <w:bCs/>
              </w:rPr>
            </w:pPr>
            <w:r w:rsidRPr="00E65500">
              <w:rPr>
                <w:bCs/>
              </w:rPr>
              <w:t>2,134.1</w:t>
            </w:r>
          </w:p>
        </w:tc>
        <w:tc>
          <w:tcPr>
            <w:tcW w:w="529" w:type="pct"/>
          </w:tcPr>
          <w:p w14:paraId="6C19FB11" w14:textId="77777777" w:rsidR="007F4791" w:rsidRPr="00E65500" w:rsidRDefault="007F4791" w:rsidP="00F13D2F">
            <w:pPr>
              <w:pStyle w:val="TableBodyText"/>
              <w:jc w:val="right"/>
              <w:rPr>
                <w:bCs/>
              </w:rPr>
            </w:pPr>
            <w:r w:rsidRPr="00E65500">
              <w:rPr>
                <w:bCs/>
              </w:rPr>
              <w:t>2,222.9</w:t>
            </w:r>
          </w:p>
        </w:tc>
        <w:tc>
          <w:tcPr>
            <w:tcW w:w="528" w:type="pct"/>
          </w:tcPr>
          <w:p w14:paraId="3BC1AE91" w14:textId="77777777" w:rsidR="007F4791" w:rsidRPr="00E65500" w:rsidRDefault="007F4791" w:rsidP="00F13D2F">
            <w:pPr>
              <w:pStyle w:val="TableBodyText"/>
              <w:jc w:val="right"/>
              <w:rPr>
                <w:bCs/>
              </w:rPr>
            </w:pPr>
            <w:r w:rsidRPr="00E65500">
              <w:rPr>
                <w:bCs/>
              </w:rPr>
              <w:t>2,287.4</w:t>
            </w:r>
          </w:p>
        </w:tc>
        <w:tc>
          <w:tcPr>
            <w:tcW w:w="529" w:type="pct"/>
          </w:tcPr>
          <w:p w14:paraId="1052C007" w14:textId="77777777" w:rsidR="007F4791" w:rsidRPr="00E65500" w:rsidRDefault="007F4791" w:rsidP="00F13D2F">
            <w:pPr>
              <w:pStyle w:val="TableBodyText"/>
              <w:jc w:val="right"/>
              <w:rPr>
                <w:bCs/>
              </w:rPr>
            </w:pPr>
            <w:r w:rsidRPr="00E65500">
              <w:rPr>
                <w:bCs/>
              </w:rPr>
              <w:t>2,346.1</w:t>
            </w:r>
          </w:p>
        </w:tc>
      </w:tr>
      <w:tr w:rsidR="00F13D2F" w:rsidRPr="00A25F2C" w14:paraId="4F1EFA1E" w14:textId="77777777" w:rsidTr="00F13D2F">
        <w:tc>
          <w:tcPr>
            <w:tcW w:w="1303" w:type="pct"/>
          </w:tcPr>
          <w:p w14:paraId="245319D3" w14:textId="77777777" w:rsidR="007F4791" w:rsidRPr="00A25F2C" w:rsidRDefault="007F4791" w:rsidP="004E1FA1">
            <w:pPr>
              <w:pStyle w:val="TableBodyText"/>
            </w:pPr>
            <w:r w:rsidRPr="00A25F2C">
              <w:rPr>
                <w:b/>
              </w:rPr>
              <w:t>Total EBIT</w:t>
            </w:r>
          </w:p>
        </w:tc>
        <w:tc>
          <w:tcPr>
            <w:tcW w:w="528" w:type="pct"/>
          </w:tcPr>
          <w:p w14:paraId="231273CB" w14:textId="77777777" w:rsidR="007F4791" w:rsidRPr="00E65500" w:rsidRDefault="007F4791" w:rsidP="00F13D2F">
            <w:pPr>
              <w:pStyle w:val="TableBodyText"/>
              <w:jc w:val="right"/>
              <w:rPr>
                <w:bCs/>
              </w:rPr>
            </w:pPr>
            <w:r w:rsidRPr="00E65500">
              <w:rPr>
                <w:bCs/>
              </w:rPr>
              <w:t>734.2</w:t>
            </w:r>
          </w:p>
        </w:tc>
        <w:tc>
          <w:tcPr>
            <w:tcW w:w="528" w:type="pct"/>
          </w:tcPr>
          <w:p w14:paraId="15F0F8CF" w14:textId="77777777" w:rsidR="007F4791" w:rsidRPr="00E65500" w:rsidRDefault="007F4791" w:rsidP="00F13D2F">
            <w:pPr>
              <w:pStyle w:val="TableBodyText"/>
              <w:jc w:val="right"/>
              <w:rPr>
                <w:bCs/>
              </w:rPr>
            </w:pPr>
            <w:r w:rsidRPr="00E65500">
              <w:rPr>
                <w:bCs/>
              </w:rPr>
              <w:t>709.6</w:t>
            </w:r>
          </w:p>
        </w:tc>
        <w:tc>
          <w:tcPr>
            <w:tcW w:w="529" w:type="pct"/>
          </w:tcPr>
          <w:p w14:paraId="5885CA4E" w14:textId="77777777" w:rsidR="007F4791" w:rsidRPr="00E65500" w:rsidRDefault="007F4791" w:rsidP="00F13D2F">
            <w:pPr>
              <w:pStyle w:val="TableBodyText"/>
              <w:jc w:val="right"/>
              <w:rPr>
                <w:bCs/>
              </w:rPr>
            </w:pPr>
            <w:r w:rsidRPr="00E65500">
              <w:rPr>
                <w:bCs/>
              </w:rPr>
              <w:t>797.1</w:t>
            </w:r>
          </w:p>
        </w:tc>
        <w:tc>
          <w:tcPr>
            <w:tcW w:w="528" w:type="pct"/>
          </w:tcPr>
          <w:p w14:paraId="1FAEF984" w14:textId="77777777" w:rsidR="007F4791" w:rsidRPr="00E65500" w:rsidRDefault="007F4791" w:rsidP="00F13D2F">
            <w:pPr>
              <w:pStyle w:val="TableBodyText"/>
              <w:jc w:val="right"/>
              <w:rPr>
                <w:bCs/>
              </w:rPr>
            </w:pPr>
            <w:r w:rsidRPr="00E65500">
              <w:rPr>
                <w:bCs/>
              </w:rPr>
              <w:t>774.4</w:t>
            </w:r>
          </w:p>
        </w:tc>
        <w:tc>
          <w:tcPr>
            <w:tcW w:w="529" w:type="pct"/>
          </w:tcPr>
          <w:p w14:paraId="16A6F501" w14:textId="77777777" w:rsidR="007F4791" w:rsidRPr="00E65500" w:rsidRDefault="007F4791" w:rsidP="00F13D2F">
            <w:pPr>
              <w:pStyle w:val="TableBodyText"/>
              <w:jc w:val="right"/>
              <w:rPr>
                <w:bCs/>
              </w:rPr>
            </w:pPr>
            <w:r w:rsidRPr="00E65500">
              <w:rPr>
                <w:bCs/>
              </w:rPr>
              <w:t>871.3</w:t>
            </w:r>
          </w:p>
        </w:tc>
        <w:tc>
          <w:tcPr>
            <w:tcW w:w="528" w:type="pct"/>
          </w:tcPr>
          <w:p w14:paraId="1E11D5BF" w14:textId="77777777" w:rsidR="007F4791" w:rsidRPr="00E65500" w:rsidRDefault="007F4791" w:rsidP="00F13D2F">
            <w:pPr>
              <w:pStyle w:val="TableBodyText"/>
              <w:jc w:val="right"/>
              <w:rPr>
                <w:bCs/>
              </w:rPr>
            </w:pPr>
            <w:r w:rsidRPr="00E65500">
              <w:rPr>
                <w:bCs/>
              </w:rPr>
              <w:t>903.3</w:t>
            </w:r>
          </w:p>
        </w:tc>
        <w:tc>
          <w:tcPr>
            <w:tcW w:w="529" w:type="pct"/>
          </w:tcPr>
          <w:p w14:paraId="2D41C493" w14:textId="77777777" w:rsidR="007F4791" w:rsidRPr="00E65500" w:rsidRDefault="007F4791" w:rsidP="00F13D2F">
            <w:pPr>
              <w:pStyle w:val="TableBodyText"/>
              <w:jc w:val="right"/>
              <w:rPr>
                <w:bCs/>
              </w:rPr>
            </w:pPr>
            <w:r w:rsidRPr="00E65500">
              <w:rPr>
                <w:bCs/>
              </w:rPr>
              <w:t>900.4</w:t>
            </w:r>
          </w:p>
        </w:tc>
      </w:tr>
    </w:tbl>
    <w:p w14:paraId="27ECEF1B" w14:textId="77C7C79D" w:rsidR="00143D6B" w:rsidRDefault="007F4791" w:rsidP="007F4791">
      <w:pPr>
        <w:pStyle w:val="BodyText"/>
      </w:pPr>
      <w:r w:rsidRPr="00A25F2C">
        <w:t>All tables subject to rounding</w:t>
      </w:r>
      <w:r w:rsidR="0086694E">
        <w:t>.</w:t>
      </w:r>
    </w:p>
    <w:p w14:paraId="7192EC9B" w14:textId="0AFE6FCD" w:rsidR="007F4791" w:rsidRPr="00A25F2C" w:rsidRDefault="0086694E" w:rsidP="0086694E">
      <w:pPr>
        <w:pStyle w:val="Caption"/>
      </w:pPr>
      <w:r w:rsidRPr="0086694E">
        <w:t xml:space="preserve">Table E23 – Forecast operating trends for labour, </w:t>
      </w:r>
      <w:proofErr w:type="gramStart"/>
      <w:r w:rsidRPr="0086694E">
        <w:t>IT</w:t>
      </w:r>
      <w:proofErr w:type="gramEnd"/>
      <w:r w:rsidRPr="0086694E">
        <w:t xml:space="preserve"> and consultants</w:t>
      </w:r>
    </w:p>
    <w:tbl>
      <w:tblPr>
        <w:tblStyle w:val="TableProfessional"/>
        <w:tblW w:w="5000" w:type="pct"/>
        <w:tblLook w:val="0620" w:firstRow="1" w:lastRow="0" w:firstColumn="0" w:lastColumn="0" w:noHBand="1" w:noVBand="1"/>
      </w:tblPr>
      <w:tblGrid>
        <w:gridCol w:w="3444"/>
        <w:gridCol w:w="1237"/>
        <w:gridCol w:w="1237"/>
        <w:gridCol w:w="1237"/>
        <w:gridCol w:w="1237"/>
        <w:gridCol w:w="1239"/>
      </w:tblGrid>
      <w:tr w:rsidR="00143D6B" w:rsidRPr="00A25F2C" w14:paraId="54C84B2A" w14:textId="77777777" w:rsidTr="00F13D2F">
        <w:trPr>
          <w:cnfStyle w:val="100000000000" w:firstRow="1" w:lastRow="0" w:firstColumn="0" w:lastColumn="0" w:oddVBand="0" w:evenVBand="0" w:oddHBand="0" w:evenHBand="0" w:firstRowFirstColumn="0" w:firstRowLastColumn="0" w:lastRowFirstColumn="0" w:lastRowLastColumn="0"/>
        </w:trPr>
        <w:tc>
          <w:tcPr>
            <w:tcW w:w="1788" w:type="pct"/>
          </w:tcPr>
          <w:p w14:paraId="2C8BF52A" w14:textId="48BB4A36" w:rsidR="007F4791" w:rsidRPr="00A25F2C" w:rsidRDefault="007F4791" w:rsidP="004E1FA1">
            <w:pPr>
              <w:pStyle w:val="TableBodyText"/>
            </w:pPr>
            <w:r w:rsidRPr="00A25F2C">
              <w:t xml:space="preserve">Nominal </w:t>
            </w:r>
            <w:r w:rsidR="00E65500">
              <w:t>$ million</w:t>
            </w:r>
          </w:p>
        </w:tc>
        <w:tc>
          <w:tcPr>
            <w:tcW w:w="642" w:type="pct"/>
          </w:tcPr>
          <w:p w14:paraId="104913AB" w14:textId="77777777" w:rsidR="007F4791" w:rsidRPr="00A25F2C" w:rsidRDefault="007F4791" w:rsidP="00F13D2F">
            <w:pPr>
              <w:pStyle w:val="TableBodyText"/>
              <w:jc w:val="right"/>
            </w:pPr>
            <w:r w:rsidRPr="00A25F2C">
              <w:t>2023-24</w:t>
            </w:r>
          </w:p>
        </w:tc>
        <w:tc>
          <w:tcPr>
            <w:tcW w:w="642" w:type="pct"/>
          </w:tcPr>
          <w:p w14:paraId="5E843E91" w14:textId="77777777" w:rsidR="007F4791" w:rsidRPr="00A25F2C" w:rsidRDefault="007F4791" w:rsidP="00F13D2F">
            <w:pPr>
              <w:pStyle w:val="TableBodyText"/>
              <w:jc w:val="right"/>
            </w:pPr>
            <w:r w:rsidRPr="00A25F2C">
              <w:t>2024-25</w:t>
            </w:r>
          </w:p>
        </w:tc>
        <w:tc>
          <w:tcPr>
            <w:tcW w:w="642" w:type="pct"/>
          </w:tcPr>
          <w:p w14:paraId="12612A67" w14:textId="77777777" w:rsidR="007F4791" w:rsidRPr="00A25F2C" w:rsidRDefault="007F4791" w:rsidP="00F13D2F">
            <w:pPr>
              <w:pStyle w:val="TableBodyText"/>
              <w:jc w:val="right"/>
            </w:pPr>
            <w:r w:rsidRPr="00A25F2C">
              <w:t>2025-26</w:t>
            </w:r>
          </w:p>
        </w:tc>
        <w:tc>
          <w:tcPr>
            <w:tcW w:w="642" w:type="pct"/>
          </w:tcPr>
          <w:p w14:paraId="34A47035" w14:textId="77777777" w:rsidR="007F4791" w:rsidRPr="00A25F2C" w:rsidRDefault="007F4791" w:rsidP="00F13D2F">
            <w:pPr>
              <w:pStyle w:val="TableBodyText"/>
              <w:jc w:val="right"/>
            </w:pPr>
            <w:r w:rsidRPr="00A25F2C">
              <w:t>2026-27</w:t>
            </w:r>
          </w:p>
        </w:tc>
        <w:tc>
          <w:tcPr>
            <w:tcW w:w="643" w:type="pct"/>
          </w:tcPr>
          <w:p w14:paraId="23718356" w14:textId="77777777" w:rsidR="007F4791" w:rsidRPr="00A25F2C" w:rsidRDefault="007F4791" w:rsidP="00F13D2F">
            <w:pPr>
              <w:pStyle w:val="TableBodyText"/>
              <w:jc w:val="right"/>
            </w:pPr>
            <w:r w:rsidRPr="00A25F2C">
              <w:t>2027-28</w:t>
            </w:r>
          </w:p>
        </w:tc>
      </w:tr>
      <w:tr w:rsidR="00143D6B" w:rsidRPr="00A25F2C" w14:paraId="23882C48" w14:textId="77777777" w:rsidTr="00F13D2F">
        <w:tc>
          <w:tcPr>
            <w:tcW w:w="1788" w:type="pct"/>
          </w:tcPr>
          <w:p w14:paraId="22F86AB1" w14:textId="77777777" w:rsidR="007F4791" w:rsidRPr="00A25F2C" w:rsidRDefault="007F4791" w:rsidP="004E1FA1">
            <w:pPr>
              <w:pStyle w:val="TableBodyText"/>
            </w:pPr>
            <w:r w:rsidRPr="00A25F2C">
              <w:t>Labour</w:t>
            </w:r>
          </w:p>
        </w:tc>
        <w:tc>
          <w:tcPr>
            <w:tcW w:w="642" w:type="pct"/>
          </w:tcPr>
          <w:p w14:paraId="2F21D960" w14:textId="77777777" w:rsidR="007F4791" w:rsidRPr="00A25F2C" w:rsidRDefault="007F4791" w:rsidP="00F13D2F">
            <w:pPr>
              <w:pStyle w:val="TableBodyText"/>
              <w:jc w:val="right"/>
            </w:pPr>
            <w:r w:rsidRPr="00A25F2C">
              <w:t>178.4</w:t>
            </w:r>
          </w:p>
        </w:tc>
        <w:tc>
          <w:tcPr>
            <w:tcW w:w="642" w:type="pct"/>
          </w:tcPr>
          <w:p w14:paraId="409CFFE2" w14:textId="77777777" w:rsidR="007F4791" w:rsidRPr="00A25F2C" w:rsidRDefault="007F4791" w:rsidP="00F13D2F">
            <w:pPr>
              <w:pStyle w:val="TableBodyText"/>
              <w:jc w:val="right"/>
            </w:pPr>
            <w:r w:rsidRPr="00A25F2C">
              <w:t>187.0</w:t>
            </w:r>
          </w:p>
        </w:tc>
        <w:tc>
          <w:tcPr>
            <w:tcW w:w="642" w:type="pct"/>
          </w:tcPr>
          <w:p w14:paraId="621149EE" w14:textId="77777777" w:rsidR="007F4791" w:rsidRPr="00A25F2C" w:rsidRDefault="007F4791" w:rsidP="00F13D2F">
            <w:pPr>
              <w:pStyle w:val="TableBodyText"/>
              <w:jc w:val="right"/>
            </w:pPr>
            <w:r w:rsidRPr="00A25F2C">
              <w:t>194.5</w:t>
            </w:r>
          </w:p>
        </w:tc>
        <w:tc>
          <w:tcPr>
            <w:tcW w:w="642" w:type="pct"/>
          </w:tcPr>
          <w:p w14:paraId="4C4E1E94" w14:textId="77777777" w:rsidR="007F4791" w:rsidRPr="00A25F2C" w:rsidRDefault="007F4791" w:rsidP="00F13D2F">
            <w:pPr>
              <w:pStyle w:val="TableBodyText"/>
              <w:jc w:val="right"/>
            </w:pPr>
            <w:r w:rsidRPr="00A25F2C">
              <w:t>200.2</w:t>
            </w:r>
          </w:p>
        </w:tc>
        <w:tc>
          <w:tcPr>
            <w:tcW w:w="643" w:type="pct"/>
          </w:tcPr>
          <w:p w14:paraId="6BF7FBEA" w14:textId="77777777" w:rsidR="007F4791" w:rsidRPr="00A25F2C" w:rsidRDefault="007F4791" w:rsidP="00F13D2F">
            <w:pPr>
              <w:pStyle w:val="TableBodyText"/>
              <w:jc w:val="right"/>
            </w:pPr>
            <w:r w:rsidRPr="00A25F2C">
              <w:t>206.2</w:t>
            </w:r>
          </w:p>
        </w:tc>
      </w:tr>
      <w:tr w:rsidR="00143D6B" w:rsidRPr="00A25F2C" w14:paraId="6A460260" w14:textId="77777777" w:rsidTr="00F13D2F">
        <w:tc>
          <w:tcPr>
            <w:tcW w:w="1788" w:type="pct"/>
          </w:tcPr>
          <w:p w14:paraId="3A178BC4" w14:textId="77777777" w:rsidR="007F4791" w:rsidRPr="00A25F2C" w:rsidRDefault="007F4791" w:rsidP="004E1FA1">
            <w:pPr>
              <w:pStyle w:val="TableBodyText"/>
            </w:pPr>
            <w:r w:rsidRPr="00A25F2C">
              <w:t>Information Technology</w:t>
            </w:r>
          </w:p>
        </w:tc>
        <w:tc>
          <w:tcPr>
            <w:tcW w:w="642" w:type="pct"/>
          </w:tcPr>
          <w:p w14:paraId="3459AE3A" w14:textId="77777777" w:rsidR="007F4791" w:rsidRPr="00A25F2C" w:rsidRDefault="007F4791" w:rsidP="00F13D2F">
            <w:pPr>
              <w:pStyle w:val="TableBodyText"/>
              <w:jc w:val="right"/>
            </w:pPr>
            <w:r w:rsidRPr="00A25F2C">
              <w:t>37.2</w:t>
            </w:r>
          </w:p>
        </w:tc>
        <w:tc>
          <w:tcPr>
            <w:tcW w:w="642" w:type="pct"/>
          </w:tcPr>
          <w:p w14:paraId="6F7DC09B" w14:textId="77777777" w:rsidR="007F4791" w:rsidRPr="00A25F2C" w:rsidRDefault="007F4791" w:rsidP="00F13D2F">
            <w:pPr>
              <w:pStyle w:val="TableBodyText"/>
              <w:jc w:val="right"/>
            </w:pPr>
            <w:r w:rsidRPr="00A25F2C">
              <w:t>38.2</w:t>
            </w:r>
          </w:p>
        </w:tc>
        <w:tc>
          <w:tcPr>
            <w:tcW w:w="642" w:type="pct"/>
          </w:tcPr>
          <w:p w14:paraId="4652FCD5" w14:textId="77777777" w:rsidR="007F4791" w:rsidRPr="00A25F2C" w:rsidRDefault="007F4791" w:rsidP="00F13D2F">
            <w:pPr>
              <w:pStyle w:val="TableBodyText"/>
              <w:jc w:val="right"/>
            </w:pPr>
            <w:r w:rsidRPr="00A25F2C">
              <w:t>39.1</w:t>
            </w:r>
          </w:p>
        </w:tc>
        <w:tc>
          <w:tcPr>
            <w:tcW w:w="642" w:type="pct"/>
          </w:tcPr>
          <w:p w14:paraId="78BA6166" w14:textId="77777777" w:rsidR="007F4791" w:rsidRPr="00A25F2C" w:rsidRDefault="007F4791" w:rsidP="00F13D2F">
            <w:pPr>
              <w:pStyle w:val="TableBodyText"/>
              <w:jc w:val="right"/>
            </w:pPr>
            <w:r w:rsidRPr="00A25F2C">
              <w:t>40.1</w:t>
            </w:r>
          </w:p>
        </w:tc>
        <w:tc>
          <w:tcPr>
            <w:tcW w:w="643" w:type="pct"/>
          </w:tcPr>
          <w:p w14:paraId="21378715" w14:textId="77777777" w:rsidR="007F4791" w:rsidRPr="00A25F2C" w:rsidRDefault="007F4791" w:rsidP="00F13D2F">
            <w:pPr>
              <w:pStyle w:val="TableBodyText"/>
              <w:jc w:val="right"/>
            </w:pPr>
            <w:r w:rsidRPr="00A25F2C">
              <w:t>41.1</w:t>
            </w:r>
          </w:p>
        </w:tc>
      </w:tr>
      <w:tr w:rsidR="00143D6B" w:rsidRPr="00A25F2C" w14:paraId="66938771" w14:textId="77777777" w:rsidTr="00F13D2F">
        <w:tc>
          <w:tcPr>
            <w:tcW w:w="1788" w:type="pct"/>
          </w:tcPr>
          <w:p w14:paraId="1AD5FD3C" w14:textId="77777777" w:rsidR="007F4791" w:rsidRPr="00A25F2C" w:rsidRDefault="007F4791" w:rsidP="004E1FA1">
            <w:pPr>
              <w:pStyle w:val="TableBodyText"/>
            </w:pPr>
            <w:r w:rsidRPr="00A25F2C">
              <w:t>Consultants</w:t>
            </w:r>
          </w:p>
        </w:tc>
        <w:tc>
          <w:tcPr>
            <w:tcW w:w="642" w:type="pct"/>
          </w:tcPr>
          <w:p w14:paraId="1E60B0E7" w14:textId="77777777" w:rsidR="007F4791" w:rsidRPr="00A25F2C" w:rsidRDefault="007F4791" w:rsidP="00F13D2F">
            <w:pPr>
              <w:pStyle w:val="TableBodyText"/>
              <w:jc w:val="right"/>
            </w:pPr>
            <w:r w:rsidRPr="00A25F2C">
              <w:t>0.0</w:t>
            </w:r>
          </w:p>
        </w:tc>
        <w:tc>
          <w:tcPr>
            <w:tcW w:w="642" w:type="pct"/>
          </w:tcPr>
          <w:p w14:paraId="7E6F5A0B" w14:textId="77777777" w:rsidR="007F4791" w:rsidRPr="00A25F2C" w:rsidRDefault="007F4791" w:rsidP="00F13D2F">
            <w:pPr>
              <w:pStyle w:val="TableBodyText"/>
              <w:jc w:val="right"/>
            </w:pPr>
            <w:r w:rsidRPr="00A25F2C">
              <w:t>0.0</w:t>
            </w:r>
          </w:p>
        </w:tc>
        <w:tc>
          <w:tcPr>
            <w:tcW w:w="642" w:type="pct"/>
          </w:tcPr>
          <w:p w14:paraId="10DE46D1" w14:textId="77777777" w:rsidR="007F4791" w:rsidRPr="00A25F2C" w:rsidRDefault="007F4791" w:rsidP="00F13D2F">
            <w:pPr>
              <w:pStyle w:val="TableBodyText"/>
              <w:jc w:val="right"/>
            </w:pPr>
            <w:r w:rsidRPr="00A25F2C">
              <w:t>0.0</w:t>
            </w:r>
          </w:p>
        </w:tc>
        <w:tc>
          <w:tcPr>
            <w:tcW w:w="642" w:type="pct"/>
          </w:tcPr>
          <w:p w14:paraId="3A4F8C47" w14:textId="77777777" w:rsidR="007F4791" w:rsidRPr="00A25F2C" w:rsidRDefault="007F4791" w:rsidP="00F13D2F">
            <w:pPr>
              <w:pStyle w:val="TableBodyText"/>
              <w:jc w:val="right"/>
            </w:pPr>
            <w:r w:rsidRPr="00A25F2C">
              <w:t>0.0</w:t>
            </w:r>
          </w:p>
        </w:tc>
        <w:tc>
          <w:tcPr>
            <w:tcW w:w="643" w:type="pct"/>
          </w:tcPr>
          <w:p w14:paraId="18C55D28" w14:textId="77777777" w:rsidR="007F4791" w:rsidRPr="00A25F2C" w:rsidRDefault="007F4791" w:rsidP="00F13D2F">
            <w:pPr>
              <w:pStyle w:val="TableBodyText"/>
              <w:jc w:val="right"/>
            </w:pPr>
            <w:r w:rsidRPr="00A25F2C">
              <w:t>0.0</w:t>
            </w:r>
          </w:p>
        </w:tc>
      </w:tr>
    </w:tbl>
    <w:p w14:paraId="428F0F71" w14:textId="45C312BB" w:rsidR="00143D6B" w:rsidRDefault="007F4791" w:rsidP="007F4791">
      <w:pPr>
        <w:pStyle w:val="BodyText"/>
      </w:pPr>
      <w:r w:rsidRPr="00A25F2C">
        <w:t>All tables subject to rounding</w:t>
      </w:r>
    </w:p>
    <w:p w14:paraId="2D4A344D" w14:textId="4BF2F444" w:rsidR="007F4791" w:rsidRPr="00A25F2C" w:rsidRDefault="0086694E" w:rsidP="0086694E">
      <w:pPr>
        <w:pStyle w:val="Caption"/>
      </w:pPr>
      <w:r w:rsidRPr="0086694E">
        <w:t>Table E24 – Sensitivity of financial outcomes</w:t>
      </w:r>
    </w:p>
    <w:tbl>
      <w:tblPr>
        <w:tblStyle w:val="TableProfessional"/>
        <w:tblW w:w="5000" w:type="pct"/>
        <w:tblLook w:val="0620" w:firstRow="1" w:lastRow="0" w:firstColumn="0" w:lastColumn="0" w:noHBand="1" w:noVBand="1"/>
      </w:tblPr>
      <w:tblGrid>
        <w:gridCol w:w="2241"/>
        <w:gridCol w:w="787"/>
        <w:gridCol w:w="1087"/>
        <w:gridCol w:w="1087"/>
        <w:gridCol w:w="1057"/>
        <w:gridCol w:w="1057"/>
        <w:gridCol w:w="1158"/>
        <w:gridCol w:w="1157"/>
      </w:tblGrid>
      <w:tr w:rsidR="00F13D2F" w:rsidRPr="00A25F2C" w14:paraId="2827570A" w14:textId="77777777" w:rsidTr="00F13D2F">
        <w:trPr>
          <w:cnfStyle w:val="100000000000" w:firstRow="1" w:lastRow="0" w:firstColumn="0" w:lastColumn="0" w:oddVBand="0" w:evenVBand="0" w:oddHBand="0" w:evenHBand="0" w:firstRowFirstColumn="0" w:firstRowLastColumn="0" w:lastRowFirstColumn="0" w:lastRowLastColumn="0"/>
        </w:trPr>
        <w:tc>
          <w:tcPr>
            <w:tcW w:w="1164" w:type="pct"/>
          </w:tcPr>
          <w:p w14:paraId="12472B93" w14:textId="24C19A95" w:rsidR="007F4791" w:rsidRPr="00A25F2C" w:rsidRDefault="007F4791" w:rsidP="004E1FA1">
            <w:pPr>
              <w:pStyle w:val="TableBodyText"/>
            </w:pPr>
            <w:r w:rsidRPr="00A25F2C">
              <w:t xml:space="preserve">Nominal </w:t>
            </w:r>
            <w:r w:rsidR="00E65500">
              <w:t>$ million</w:t>
            </w:r>
          </w:p>
        </w:tc>
        <w:tc>
          <w:tcPr>
            <w:tcW w:w="409" w:type="pct"/>
          </w:tcPr>
          <w:p w14:paraId="4F5F5BAD" w14:textId="77777777" w:rsidR="007F4791" w:rsidRPr="00A25F2C" w:rsidRDefault="007F4791" w:rsidP="00F13D2F">
            <w:pPr>
              <w:pStyle w:val="TableBodyText"/>
              <w:jc w:val="right"/>
            </w:pPr>
            <w:r w:rsidRPr="00A25F2C">
              <w:t>Base Case</w:t>
            </w:r>
          </w:p>
          <w:p w14:paraId="184CDB4F" w14:textId="77777777" w:rsidR="007F4791" w:rsidRPr="00A25F2C" w:rsidRDefault="007F4791" w:rsidP="00F13D2F">
            <w:pPr>
              <w:pStyle w:val="TableBodyText"/>
              <w:jc w:val="right"/>
            </w:pPr>
            <w:r w:rsidRPr="00A25F2C">
              <w:t>PLAN</w:t>
            </w:r>
          </w:p>
        </w:tc>
        <w:tc>
          <w:tcPr>
            <w:tcW w:w="564" w:type="pct"/>
          </w:tcPr>
          <w:p w14:paraId="00CE3EAA" w14:textId="014B16E7" w:rsidR="00F13D2F" w:rsidRDefault="00F13D2F" w:rsidP="00F13D2F">
            <w:pPr>
              <w:pStyle w:val="TableBodyText"/>
              <w:jc w:val="right"/>
              <w:rPr>
                <w:b w:val="0"/>
              </w:rPr>
            </w:pPr>
            <w:r w:rsidRPr="00A25F2C">
              <w:t>Developer Revenue</w:t>
            </w:r>
            <w:r>
              <w:t xml:space="preserve"> </w:t>
            </w:r>
            <w:hyperlink w:anchor="NoteE24a" w:history="1">
              <w:r w:rsidR="000D4969">
                <w:rPr>
                  <w:rStyle w:val="Hyperlink"/>
                  <w:b w:val="0"/>
                </w:rPr>
                <w:t>See note 1</w:t>
              </w:r>
            </w:hyperlink>
          </w:p>
          <w:p w14:paraId="578628E9" w14:textId="169C2F46" w:rsidR="007F4791" w:rsidRPr="00A25F2C" w:rsidRDefault="007F4791" w:rsidP="00F13D2F">
            <w:pPr>
              <w:pStyle w:val="TableBodyText"/>
              <w:jc w:val="right"/>
            </w:pPr>
            <w:r w:rsidRPr="00A25F2C">
              <w:t>Increase</w:t>
            </w:r>
          </w:p>
          <w:p w14:paraId="50DC49DC" w14:textId="52DDA879" w:rsidR="007F4791" w:rsidRPr="00A25F2C" w:rsidRDefault="007F4791" w:rsidP="00F13D2F">
            <w:pPr>
              <w:pStyle w:val="TableBodyText"/>
              <w:jc w:val="right"/>
            </w:pPr>
            <w:r w:rsidRPr="00A25F2C">
              <w:t>25%</w:t>
            </w:r>
            <w:r w:rsidR="000D4969">
              <w:t xml:space="preserve"> </w:t>
            </w:r>
            <w:hyperlink w:anchor="NoteE24b" w:history="1">
              <w:r w:rsidR="000D4969">
                <w:rPr>
                  <w:rStyle w:val="Hyperlink"/>
                  <w:b w:val="0"/>
                  <w:bCs w:val="0"/>
                </w:rPr>
                <w:t>See note 2</w:t>
              </w:r>
            </w:hyperlink>
          </w:p>
        </w:tc>
        <w:tc>
          <w:tcPr>
            <w:tcW w:w="564" w:type="pct"/>
          </w:tcPr>
          <w:p w14:paraId="709BEC6F" w14:textId="5A0CC2B4" w:rsidR="00F13D2F" w:rsidRDefault="00F13D2F" w:rsidP="00F13D2F">
            <w:pPr>
              <w:pStyle w:val="TableBodyText"/>
              <w:jc w:val="right"/>
              <w:rPr>
                <w:b w:val="0"/>
              </w:rPr>
            </w:pPr>
            <w:r w:rsidRPr="00A25F2C">
              <w:t>Developer Revenue</w:t>
            </w:r>
            <w:r>
              <w:t xml:space="preserve"> </w:t>
            </w:r>
            <w:hyperlink w:anchor="NoteE24a" w:history="1">
              <w:r w:rsidR="000D4969">
                <w:rPr>
                  <w:rStyle w:val="Hyperlink"/>
                  <w:b w:val="0"/>
                </w:rPr>
                <w:t>See note 1</w:t>
              </w:r>
            </w:hyperlink>
          </w:p>
          <w:p w14:paraId="2E0A673F" w14:textId="4AC131AF" w:rsidR="007F4791" w:rsidRPr="00A25F2C" w:rsidRDefault="007F4791" w:rsidP="00F13D2F">
            <w:pPr>
              <w:pStyle w:val="TableBodyText"/>
              <w:jc w:val="right"/>
            </w:pPr>
            <w:r w:rsidRPr="00A25F2C">
              <w:t>Decrease</w:t>
            </w:r>
          </w:p>
          <w:p w14:paraId="6027AC0F" w14:textId="32540D29" w:rsidR="007F4791" w:rsidRPr="00A25F2C" w:rsidRDefault="007F4791" w:rsidP="00F13D2F">
            <w:pPr>
              <w:pStyle w:val="TableBodyText"/>
              <w:jc w:val="right"/>
            </w:pPr>
            <w:r w:rsidRPr="00A25F2C">
              <w:t>25%</w:t>
            </w:r>
            <w:r w:rsidR="00E65500">
              <w:t xml:space="preserve"> </w:t>
            </w:r>
            <w:hyperlink w:anchor="NoteE24c" w:history="1">
              <w:r w:rsidR="000D4969">
                <w:rPr>
                  <w:rStyle w:val="Hyperlink"/>
                  <w:b w:val="0"/>
                  <w:bCs w:val="0"/>
                </w:rPr>
                <w:t>See note 3</w:t>
              </w:r>
            </w:hyperlink>
          </w:p>
        </w:tc>
        <w:tc>
          <w:tcPr>
            <w:tcW w:w="549" w:type="pct"/>
          </w:tcPr>
          <w:p w14:paraId="4655F315" w14:textId="6A5B4D22" w:rsidR="00F13D2F" w:rsidRDefault="00F13D2F" w:rsidP="00F13D2F">
            <w:pPr>
              <w:pStyle w:val="TableBodyText"/>
              <w:jc w:val="right"/>
              <w:rPr>
                <w:b w:val="0"/>
              </w:rPr>
            </w:pPr>
            <w:r w:rsidRPr="00A25F2C">
              <w:t>Capital Expenses</w:t>
            </w:r>
          </w:p>
          <w:p w14:paraId="6D00A2EC" w14:textId="03AE072D" w:rsidR="007F4791" w:rsidRPr="00A25F2C" w:rsidRDefault="007F4791" w:rsidP="00F13D2F">
            <w:pPr>
              <w:pStyle w:val="TableBodyText"/>
              <w:jc w:val="right"/>
            </w:pPr>
            <w:r w:rsidRPr="00A25F2C">
              <w:t>Increase</w:t>
            </w:r>
          </w:p>
          <w:p w14:paraId="4C773204" w14:textId="77777777" w:rsidR="007F4791" w:rsidRPr="00A25F2C" w:rsidRDefault="007F4791" w:rsidP="00F13D2F">
            <w:pPr>
              <w:pStyle w:val="TableBodyText"/>
              <w:jc w:val="right"/>
            </w:pPr>
            <w:r w:rsidRPr="00A25F2C">
              <w:t>5%</w:t>
            </w:r>
          </w:p>
        </w:tc>
        <w:tc>
          <w:tcPr>
            <w:tcW w:w="549" w:type="pct"/>
          </w:tcPr>
          <w:p w14:paraId="7C88495C" w14:textId="13733DFE" w:rsidR="00F13D2F" w:rsidRDefault="00F13D2F" w:rsidP="00F13D2F">
            <w:pPr>
              <w:pStyle w:val="TableBodyText"/>
              <w:jc w:val="right"/>
              <w:rPr>
                <w:b w:val="0"/>
              </w:rPr>
            </w:pPr>
            <w:r w:rsidRPr="00A25F2C">
              <w:t>Capital Expenses</w:t>
            </w:r>
          </w:p>
          <w:p w14:paraId="13C6AE14" w14:textId="4BAB0FC1" w:rsidR="007F4791" w:rsidRPr="00A25F2C" w:rsidRDefault="007F4791" w:rsidP="00F13D2F">
            <w:pPr>
              <w:pStyle w:val="TableBodyText"/>
              <w:jc w:val="right"/>
            </w:pPr>
            <w:r w:rsidRPr="00A25F2C">
              <w:t>Decrease</w:t>
            </w:r>
          </w:p>
          <w:p w14:paraId="4810FAF3" w14:textId="77777777" w:rsidR="007F4791" w:rsidRPr="00A25F2C" w:rsidRDefault="007F4791" w:rsidP="00F13D2F">
            <w:pPr>
              <w:pStyle w:val="TableBodyText"/>
              <w:jc w:val="right"/>
            </w:pPr>
            <w:r w:rsidRPr="00A25F2C">
              <w:t>5%</w:t>
            </w:r>
          </w:p>
        </w:tc>
        <w:tc>
          <w:tcPr>
            <w:tcW w:w="601" w:type="pct"/>
          </w:tcPr>
          <w:p w14:paraId="1B503B84" w14:textId="1CFB5232" w:rsidR="00F13D2F" w:rsidRDefault="00F13D2F" w:rsidP="00F13D2F">
            <w:pPr>
              <w:pStyle w:val="TableBodyText"/>
              <w:jc w:val="right"/>
              <w:rPr>
                <w:b w:val="0"/>
              </w:rPr>
            </w:pPr>
            <w:r w:rsidRPr="00A25F2C">
              <w:t>Demand and Customers</w:t>
            </w:r>
            <w:r>
              <w:t xml:space="preserve"> </w:t>
            </w:r>
            <w:hyperlink w:anchor="NoteE24d" w:history="1">
              <w:r w:rsidR="000D4969">
                <w:rPr>
                  <w:rStyle w:val="Hyperlink"/>
                  <w:b w:val="0"/>
                  <w:bCs w:val="0"/>
                </w:rPr>
                <w:t>See note 4</w:t>
              </w:r>
            </w:hyperlink>
          </w:p>
          <w:p w14:paraId="4E781345" w14:textId="2AF53071" w:rsidR="007F4791" w:rsidRPr="00A25F2C" w:rsidRDefault="007F4791" w:rsidP="00F13D2F">
            <w:pPr>
              <w:pStyle w:val="TableBodyText"/>
              <w:jc w:val="right"/>
            </w:pPr>
            <w:r w:rsidRPr="00A25F2C">
              <w:t>Increase</w:t>
            </w:r>
          </w:p>
          <w:p w14:paraId="6F88137B" w14:textId="6D8EA198" w:rsidR="007F4791" w:rsidRPr="00A25F2C" w:rsidRDefault="007F4791" w:rsidP="00F13D2F">
            <w:pPr>
              <w:pStyle w:val="TableBodyText"/>
              <w:jc w:val="right"/>
            </w:pPr>
            <w:r w:rsidRPr="00A25F2C">
              <w:t>5%</w:t>
            </w:r>
            <w:hyperlink w:anchor="NoteE24e" w:history="1"/>
            <w:r w:rsidR="000D4969">
              <w:t xml:space="preserve"> </w:t>
            </w:r>
            <w:hyperlink w:anchor="NoteE24e" w:history="1">
              <w:r w:rsidR="000D4969">
                <w:rPr>
                  <w:rStyle w:val="Hyperlink"/>
                  <w:b w:val="0"/>
                  <w:bCs w:val="0"/>
                </w:rPr>
                <w:t>See note 5</w:t>
              </w:r>
            </w:hyperlink>
          </w:p>
        </w:tc>
        <w:tc>
          <w:tcPr>
            <w:tcW w:w="601" w:type="pct"/>
          </w:tcPr>
          <w:p w14:paraId="128B6F27" w14:textId="61C8F87D" w:rsidR="00F13D2F" w:rsidRDefault="00F13D2F" w:rsidP="00F13D2F">
            <w:pPr>
              <w:pStyle w:val="TableBodyText"/>
              <w:jc w:val="right"/>
              <w:rPr>
                <w:b w:val="0"/>
              </w:rPr>
            </w:pPr>
            <w:r w:rsidRPr="00A25F2C">
              <w:t>Demand and Customers</w:t>
            </w:r>
            <w:r>
              <w:t xml:space="preserve"> </w:t>
            </w:r>
            <w:hyperlink w:anchor="NoteE24d" w:history="1">
              <w:r w:rsidR="000D4969">
                <w:rPr>
                  <w:rStyle w:val="Hyperlink"/>
                  <w:b w:val="0"/>
                  <w:bCs w:val="0"/>
                </w:rPr>
                <w:t>See note 4</w:t>
              </w:r>
            </w:hyperlink>
          </w:p>
          <w:p w14:paraId="52605895" w14:textId="7B8E060F" w:rsidR="007F4791" w:rsidRPr="00A25F2C" w:rsidRDefault="007F4791" w:rsidP="00F13D2F">
            <w:pPr>
              <w:pStyle w:val="TableBodyText"/>
              <w:jc w:val="right"/>
            </w:pPr>
            <w:r w:rsidRPr="00A25F2C">
              <w:t>Decrease</w:t>
            </w:r>
          </w:p>
          <w:p w14:paraId="5533328E" w14:textId="21879ADD" w:rsidR="007F4791" w:rsidRPr="00A25F2C" w:rsidRDefault="007F4791" w:rsidP="00F13D2F">
            <w:pPr>
              <w:pStyle w:val="TableBodyText"/>
              <w:jc w:val="right"/>
            </w:pPr>
            <w:r w:rsidRPr="00A25F2C">
              <w:t>5%</w:t>
            </w:r>
            <w:r w:rsidR="000D4969">
              <w:t xml:space="preserve"> </w:t>
            </w:r>
            <w:hyperlink w:anchor="NoteE24f" w:history="1">
              <w:r w:rsidR="000D4969">
                <w:rPr>
                  <w:rStyle w:val="Hyperlink"/>
                  <w:b w:val="0"/>
                  <w:bCs w:val="0"/>
                </w:rPr>
                <w:t>See note 6</w:t>
              </w:r>
            </w:hyperlink>
          </w:p>
        </w:tc>
      </w:tr>
      <w:tr w:rsidR="007F4791" w:rsidRPr="00A25F2C" w14:paraId="689AAE96" w14:textId="77777777" w:rsidTr="00F13D2F">
        <w:tc>
          <w:tcPr>
            <w:tcW w:w="1164" w:type="pct"/>
          </w:tcPr>
          <w:p w14:paraId="0842F23A" w14:textId="77777777" w:rsidR="007F4791" w:rsidRPr="00A25F2C" w:rsidRDefault="007F4791" w:rsidP="004E1FA1">
            <w:pPr>
              <w:pStyle w:val="TableBodyText"/>
            </w:pPr>
            <w:r w:rsidRPr="00A25F2C">
              <w:t>Operating Revenue (total)</w:t>
            </w:r>
          </w:p>
        </w:tc>
        <w:tc>
          <w:tcPr>
            <w:tcW w:w="409" w:type="pct"/>
          </w:tcPr>
          <w:p w14:paraId="0B535B83" w14:textId="77777777" w:rsidR="007F4791" w:rsidRPr="00A25F2C" w:rsidRDefault="007F4791" w:rsidP="00F13D2F">
            <w:pPr>
              <w:pStyle w:val="TableBodyText"/>
              <w:jc w:val="right"/>
            </w:pPr>
            <w:r w:rsidRPr="00A25F2C">
              <w:t>10,998</w:t>
            </w:r>
          </w:p>
        </w:tc>
        <w:tc>
          <w:tcPr>
            <w:tcW w:w="564" w:type="pct"/>
          </w:tcPr>
          <w:p w14:paraId="17EA6C29" w14:textId="77777777" w:rsidR="007F4791" w:rsidRPr="00A25F2C" w:rsidRDefault="007F4791" w:rsidP="00F13D2F">
            <w:pPr>
              <w:pStyle w:val="TableBodyText"/>
              <w:jc w:val="right"/>
            </w:pPr>
            <w:r w:rsidRPr="00A25F2C">
              <w:t>11,239</w:t>
            </w:r>
          </w:p>
        </w:tc>
        <w:tc>
          <w:tcPr>
            <w:tcW w:w="564" w:type="pct"/>
          </w:tcPr>
          <w:p w14:paraId="174423E2" w14:textId="77777777" w:rsidR="007F4791" w:rsidRPr="00A25F2C" w:rsidRDefault="007F4791" w:rsidP="00F13D2F">
            <w:pPr>
              <w:pStyle w:val="TableBodyText"/>
              <w:jc w:val="right"/>
            </w:pPr>
            <w:r w:rsidRPr="00A25F2C">
              <w:t>10,757</w:t>
            </w:r>
          </w:p>
        </w:tc>
        <w:tc>
          <w:tcPr>
            <w:tcW w:w="549" w:type="pct"/>
          </w:tcPr>
          <w:p w14:paraId="2C21576A" w14:textId="77777777" w:rsidR="007F4791" w:rsidRPr="00A25F2C" w:rsidRDefault="007F4791" w:rsidP="00F13D2F">
            <w:pPr>
              <w:pStyle w:val="TableBodyText"/>
              <w:jc w:val="right"/>
            </w:pPr>
            <w:r w:rsidRPr="00A25F2C">
              <w:t>10,998</w:t>
            </w:r>
          </w:p>
        </w:tc>
        <w:tc>
          <w:tcPr>
            <w:tcW w:w="549" w:type="pct"/>
          </w:tcPr>
          <w:p w14:paraId="16234DD5" w14:textId="77777777" w:rsidR="007F4791" w:rsidRPr="00A25F2C" w:rsidRDefault="007F4791" w:rsidP="00F13D2F">
            <w:pPr>
              <w:pStyle w:val="TableBodyText"/>
              <w:jc w:val="right"/>
            </w:pPr>
            <w:r w:rsidRPr="00A25F2C">
              <w:t>10,998</w:t>
            </w:r>
          </w:p>
        </w:tc>
        <w:tc>
          <w:tcPr>
            <w:tcW w:w="601" w:type="pct"/>
          </w:tcPr>
          <w:p w14:paraId="636DB36D" w14:textId="77777777" w:rsidR="007F4791" w:rsidRPr="00A25F2C" w:rsidRDefault="007F4791" w:rsidP="00F13D2F">
            <w:pPr>
              <w:pStyle w:val="TableBodyText"/>
              <w:jc w:val="right"/>
            </w:pPr>
            <w:r w:rsidRPr="00A25F2C">
              <w:t>11,098</w:t>
            </w:r>
          </w:p>
        </w:tc>
        <w:tc>
          <w:tcPr>
            <w:tcW w:w="601" w:type="pct"/>
          </w:tcPr>
          <w:p w14:paraId="02894EA5" w14:textId="77777777" w:rsidR="007F4791" w:rsidRPr="00A25F2C" w:rsidRDefault="007F4791" w:rsidP="00F13D2F">
            <w:pPr>
              <w:pStyle w:val="TableBodyText"/>
              <w:jc w:val="right"/>
            </w:pPr>
            <w:r w:rsidRPr="00A25F2C">
              <w:t>10,856</w:t>
            </w:r>
          </w:p>
        </w:tc>
      </w:tr>
      <w:tr w:rsidR="007F4791" w:rsidRPr="00A25F2C" w14:paraId="401D9796" w14:textId="77777777" w:rsidTr="00F13D2F">
        <w:tc>
          <w:tcPr>
            <w:tcW w:w="1164" w:type="pct"/>
          </w:tcPr>
          <w:p w14:paraId="11289580" w14:textId="77777777" w:rsidR="007F4791" w:rsidRPr="00A25F2C" w:rsidRDefault="007F4791" w:rsidP="004E1FA1">
            <w:pPr>
              <w:pStyle w:val="TableBodyText"/>
            </w:pPr>
            <w:r w:rsidRPr="00A25F2C">
              <w:t>Direct Operating Expenses (excl. VDP) (total)</w:t>
            </w:r>
          </w:p>
        </w:tc>
        <w:tc>
          <w:tcPr>
            <w:tcW w:w="409" w:type="pct"/>
          </w:tcPr>
          <w:p w14:paraId="5CFC1448" w14:textId="77777777" w:rsidR="007F4791" w:rsidRPr="00A25F2C" w:rsidRDefault="007F4791" w:rsidP="00F13D2F">
            <w:pPr>
              <w:pStyle w:val="TableBodyText"/>
              <w:jc w:val="right"/>
            </w:pPr>
            <w:r w:rsidRPr="00A25F2C">
              <w:t>2,835</w:t>
            </w:r>
          </w:p>
        </w:tc>
        <w:tc>
          <w:tcPr>
            <w:tcW w:w="564" w:type="pct"/>
          </w:tcPr>
          <w:p w14:paraId="4DA3049E" w14:textId="77777777" w:rsidR="007F4791" w:rsidRPr="00A25F2C" w:rsidRDefault="007F4791" w:rsidP="00F13D2F">
            <w:pPr>
              <w:pStyle w:val="TableBodyText"/>
              <w:jc w:val="right"/>
            </w:pPr>
            <w:r w:rsidRPr="00A25F2C">
              <w:t>2,835</w:t>
            </w:r>
          </w:p>
        </w:tc>
        <w:tc>
          <w:tcPr>
            <w:tcW w:w="564" w:type="pct"/>
          </w:tcPr>
          <w:p w14:paraId="01F501E9" w14:textId="77777777" w:rsidR="007F4791" w:rsidRPr="00A25F2C" w:rsidRDefault="007F4791" w:rsidP="00F13D2F">
            <w:pPr>
              <w:pStyle w:val="TableBodyText"/>
              <w:jc w:val="right"/>
            </w:pPr>
            <w:r w:rsidRPr="00A25F2C">
              <w:t>2,835</w:t>
            </w:r>
          </w:p>
        </w:tc>
        <w:tc>
          <w:tcPr>
            <w:tcW w:w="549" w:type="pct"/>
          </w:tcPr>
          <w:p w14:paraId="2F56F953" w14:textId="77777777" w:rsidR="007F4791" w:rsidRPr="00A25F2C" w:rsidRDefault="007F4791" w:rsidP="00F13D2F">
            <w:pPr>
              <w:pStyle w:val="TableBodyText"/>
              <w:jc w:val="right"/>
            </w:pPr>
            <w:r w:rsidRPr="00A25F2C">
              <w:t>2,835</w:t>
            </w:r>
          </w:p>
        </w:tc>
        <w:tc>
          <w:tcPr>
            <w:tcW w:w="549" w:type="pct"/>
          </w:tcPr>
          <w:p w14:paraId="36A7A90A" w14:textId="77777777" w:rsidR="007F4791" w:rsidRPr="00A25F2C" w:rsidRDefault="007F4791" w:rsidP="00F13D2F">
            <w:pPr>
              <w:pStyle w:val="TableBodyText"/>
              <w:jc w:val="right"/>
            </w:pPr>
            <w:r w:rsidRPr="00A25F2C">
              <w:t>2,835</w:t>
            </w:r>
          </w:p>
        </w:tc>
        <w:tc>
          <w:tcPr>
            <w:tcW w:w="601" w:type="pct"/>
          </w:tcPr>
          <w:p w14:paraId="590CC4D7" w14:textId="77777777" w:rsidR="007F4791" w:rsidRPr="00A25F2C" w:rsidRDefault="007F4791" w:rsidP="00F13D2F">
            <w:pPr>
              <w:pStyle w:val="TableBodyText"/>
              <w:jc w:val="right"/>
            </w:pPr>
            <w:r w:rsidRPr="00A25F2C">
              <w:t>2,835</w:t>
            </w:r>
          </w:p>
        </w:tc>
        <w:tc>
          <w:tcPr>
            <w:tcW w:w="601" w:type="pct"/>
          </w:tcPr>
          <w:p w14:paraId="59E84EA3" w14:textId="77777777" w:rsidR="007F4791" w:rsidRPr="00A25F2C" w:rsidRDefault="007F4791" w:rsidP="00F13D2F">
            <w:pPr>
              <w:pStyle w:val="TableBodyText"/>
              <w:jc w:val="right"/>
            </w:pPr>
            <w:r w:rsidRPr="00A25F2C">
              <w:t>2,835</w:t>
            </w:r>
          </w:p>
        </w:tc>
      </w:tr>
      <w:tr w:rsidR="007F4791" w:rsidRPr="00A25F2C" w14:paraId="038D5603" w14:textId="77777777" w:rsidTr="00F13D2F">
        <w:tc>
          <w:tcPr>
            <w:tcW w:w="1164" w:type="pct"/>
          </w:tcPr>
          <w:p w14:paraId="4A4D1D33" w14:textId="77777777" w:rsidR="007F4791" w:rsidRPr="00A25F2C" w:rsidRDefault="007F4791" w:rsidP="004E1FA1">
            <w:pPr>
              <w:pStyle w:val="TableBodyText"/>
            </w:pPr>
            <w:r w:rsidRPr="00A25F2C">
              <w:t>EBIT (total)</w:t>
            </w:r>
          </w:p>
        </w:tc>
        <w:tc>
          <w:tcPr>
            <w:tcW w:w="409" w:type="pct"/>
          </w:tcPr>
          <w:p w14:paraId="0B6600DA" w14:textId="77777777" w:rsidR="007F4791" w:rsidRPr="00A25F2C" w:rsidRDefault="007F4791" w:rsidP="00F13D2F">
            <w:pPr>
              <w:pStyle w:val="TableBodyText"/>
              <w:jc w:val="right"/>
            </w:pPr>
            <w:r w:rsidRPr="00A25F2C">
              <w:t>4,247</w:t>
            </w:r>
          </w:p>
        </w:tc>
        <w:tc>
          <w:tcPr>
            <w:tcW w:w="564" w:type="pct"/>
          </w:tcPr>
          <w:p w14:paraId="633B5E12" w14:textId="77777777" w:rsidR="007F4791" w:rsidRPr="00A25F2C" w:rsidRDefault="007F4791" w:rsidP="00F13D2F">
            <w:pPr>
              <w:pStyle w:val="TableBodyText"/>
              <w:jc w:val="right"/>
            </w:pPr>
            <w:r w:rsidRPr="00A25F2C">
              <w:t>4,481</w:t>
            </w:r>
          </w:p>
        </w:tc>
        <w:tc>
          <w:tcPr>
            <w:tcW w:w="564" w:type="pct"/>
          </w:tcPr>
          <w:p w14:paraId="7794BF30" w14:textId="77777777" w:rsidR="007F4791" w:rsidRPr="00A25F2C" w:rsidRDefault="007F4791" w:rsidP="00F13D2F">
            <w:pPr>
              <w:pStyle w:val="TableBodyText"/>
              <w:jc w:val="right"/>
            </w:pPr>
            <w:r w:rsidRPr="00A25F2C">
              <w:t>4,012</w:t>
            </w:r>
          </w:p>
        </w:tc>
        <w:tc>
          <w:tcPr>
            <w:tcW w:w="549" w:type="pct"/>
          </w:tcPr>
          <w:p w14:paraId="20778ECC" w14:textId="77777777" w:rsidR="007F4791" w:rsidRPr="00A25F2C" w:rsidRDefault="007F4791" w:rsidP="00F13D2F">
            <w:pPr>
              <w:pStyle w:val="TableBodyText"/>
              <w:jc w:val="right"/>
            </w:pPr>
            <w:r w:rsidRPr="00A25F2C">
              <w:t>4,240</w:t>
            </w:r>
          </w:p>
        </w:tc>
        <w:tc>
          <w:tcPr>
            <w:tcW w:w="549" w:type="pct"/>
          </w:tcPr>
          <w:p w14:paraId="25ADF36A" w14:textId="77777777" w:rsidR="007F4791" w:rsidRPr="00A25F2C" w:rsidRDefault="007F4791" w:rsidP="00F13D2F">
            <w:pPr>
              <w:pStyle w:val="TableBodyText"/>
              <w:jc w:val="right"/>
            </w:pPr>
            <w:r w:rsidRPr="00A25F2C">
              <w:t>4,253</w:t>
            </w:r>
          </w:p>
        </w:tc>
        <w:tc>
          <w:tcPr>
            <w:tcW w:w="601" w:type="pct"/>
          </w:tcPr>
          <w:p w14:paraId="1D5FF20A" w14:textId="77777777" w:rsidR="007F4791" w:rsidRPr="00A25F2C" w:rsidRDefault="007F4791" w:rsidP="00F13D2F">
            <w:pPr>
              <w:pStyle w:val="TableBodyText"/>
              <w:jc w:val="right"/>
            </w:pPr>
            <w:r w:rsidRPr="00A25F2C">
              <w:t>4,346</w:t>
            </w:r>
          </w:p>
        </w:tc>
        <w:tc>
          <w:tcPr>
            <w:tcW w:w="601" w:type="pct"/>
          </w:tcPr>
          <w:p w14:paraId="04D53CE2" w14:textId="77777777" w:rsidR="007F4791" w:rsidRPr="00A25F2C" w:rsidRDefault="007F4791" w:rsidP="00F13D2F">
            <w:pPr>
              <w:pStyle w:val="TableBodyText"/>
              <w:jc w:val="right"/>
            </w:pPr>
            <w:r w:rsidRPr="00A25F2C">
              <w:t>4,105</w:t>
            </w:r>
          </w:p>
        </w:tc>
      </w:tr>
      <w:tr w:rsidR="007F4791" w:rsidRPr="00A25F2C" w14:paraId="5C5939EC" w14:textId="77777777" w:rsidTr="00F13D2F">
        <w:tc>
          <w:tcPr>
            <w:tcW w:w="1164" w:type="pct"/>
          </w:tcPr>
          <w:p w14:paraId="6029757F" w14:textId="77777777" w:rsidR="007F4791" w:rsidRPr="00A25F2C" w:rsidRDefault="007F4791" w:rsidP="004E1FA1">
            <w:pPr>
              <w:pStyle w:val="TableBodyText"/>
            </w:pPr>
            <w:r w:rsidRPr="00A25F2C">
              <w:t>NPAT (total)</w:t>
            </w:r>
          </w:p>
        </w:tc>
        <w:tc>
          <w:tcPr>
            <w:tcW w:w="409" w:type="pct"/>
          </w:tcPr>
          <w:p w14:paraId="318D831F" w14:textId="77777777" w:rsidR="007F4791" w:rsidRPr="00A25F2C" w:rsidRDefault="007F4791" w:rsidP="00F13D2F">
            <w:pPr>
              <w:pStyle w:val="TableBodyText"/>
              <w:jc w:val="right"/>
            </w:pPr>
            <w:r w:rsidRPr="00A25F2C">
              <w:t>543</w:t>
            </w:r>
          </w:p>
        </w:tc>
        <w:tc>
          <w:tcPr>
            <w:tcW w:w="564" w:type="pct"/>
          </w:tcPr>
          <w:p w14:paraId="1CEC0B04" w14:textId="77777777" w:rsidR="007F4791" w:rsidRPr="00A25F2C" w:rsidRDefault="007F4791" w:rsidP="00F13D2F">
            <w:pPr>
              <w:pStyle w:val="TableBodyText"/>
              <w:jc w:val="right"/>
            </w:pPr>
            <w:r w:rsidRPr="00A25F2C">
              <w:t>700</w:t>
            </w:r>
          </w:p>
        </w:tc>
        <w:tc>
          <w:tcPr>
            <w:tcW w:w="564" w:type="pct"/>
          </w:tcPr>
          <w:p w14:paraId="266F4842" w14:textId="77777777" w:rsidR="007F4791" w:rsidRPr="00A25F2C" w:rsidRDefault="007F4791" w:rsidP="00F13D2F">
            <w:pPr>
              <w:pStyle w:val="TableBodyText"/>
              <w:jc w:val="right"/>
            </w:pPr>
            <w:r w:rsidRPr="00A25F2C">
              <w:t>387</w:t>
            </w:r>
          </w:p>
        </w:tc>
        <w:tc>
          <w:tcPr>
            <w:tcW w:w="549" w:type="pct"/>
          </w:tcPr>
          <w:p w14:paraId="1633E179" w14:textId="77777777" w:rsidR="007F4791" w:rsidRPr="00A25F2C" w:rsidRDefault="007F4791" w:rsidP="00F13D2F">
            <w:pPr>
              <w:pStyle w:val="TableBodyText"/>
              <w:jc w:val="right"/>
            </w:pPr>
            <w:r w:rsidRPr="00A25F2C">
              <w:t>517</w:t>
            </w:r>
          </w:p>
        </w:tc>
        <w:tc>
          <w:tcPr>
            <w:tcW w:w="549" w:type="pct"/>
          </w:tcPr>
          <w:p w14:paraId="5F5D9C19" w14:textId="77777777" w:rsidR="007F4791" w:rsidRPr="00A25F2C" w:rsidRDefault="007F4791" w:rsidP="00F13D2F">
            <w:pPr>
              <w:pStyle w:val="TableBodyText"/>
              <w:jc w:val="right"/>
            </w:pPr>
            <w:r w:rsidRPr="00A25F2C">
              <w:t>569</w:t>
            </w:r>
          </w:p>
        </w:tc>
        <w:tc>
          <w:tcPr>
            <w:tcW w:w="601" w:type="pct"/>
          </w:tcPr>
          <w:p w14:paraId="253A4D51" w14:textId="77777777" w:rsidR="007F4791" w:rsidRPr="00A25F2C" w:rsidRDefault="007F4791" w:rsidP="00F13D2F">
            <w:pPr>
              <w:pStyle w:val="TableBodyText"/>
              <w:jc w:val="right"/>
            </w:pPr>
            <w:r w:rsidRPr="00A25F2C">
              <w:t>616</w:t>
            </w:r>
          </w:p>
        </w:tc>
        <w:tc>
          <w:tcPr>
            <w:tcW w:w="601" w:type="pct"/>
          </w:tcPr>
          <w:p w14:paraId="48B4D4EC" w14:textId="77777777" w:rsidR="007F4791" w:rsidRPr="00A25F2C" w:rsidRDefault="007F4791" w:rsidP="00F13D2F">
            <w:pPr>
              <w:pStyle w:val="TableBodyText"/>
              <w:jc w:val="right"/>
            </w:pPr>
            <w:r w:rsidRPr="00A25F2C">
              <w:t>440</w:t>
            </w:r>
          </w:p>
        </w:tc>
      </w:tr>
      <w:tr w:rsidR="007F4791" w:rsidRPr="00A25F2C" w14:paraId="13038AE3" w14:textId="77777777" w:rsidTr="00F13D2F">
        <w:tc>
          <w:tcPr>
            <w:tcW w:w="1164" w:type="pct"/>
          </w:tcPr>
          <w:p w14:paraId="66100AEB" w14:textId="77777777" w:rsidR="007F4791" w:rsidRPr="00A25F2C" w:rsidRDefault="007F4791" w:rsidP="004E1FA1">
            <w:pPr>
              <w:pStyle w:val="TableBodyText"/>
            </w:pPr>
            <w:r w:rsidRPr="00A25F2C">
              <w:t>Capital Expenses (total)</w:t>
            </w:r>
          </w:p>
        </w:tc>
        <w:tc>
          <w:tcPr>
            <w:tcW w:w="409" w:type="pct"/>
          </w:tcPr>
          <w:p w14:paraId="107FC0B3" w14:textId="77777777" w:rsidR="007F4791" w:rsidRPr="00A25F2C" w:rsidRDefault="007F4791" w:rsidP="00F13D2F">
            <w:pPr>
              <w:pStyle w:val="TableBodyText"/>
              <w:jc w:val="right"/>
            </w:pPr>
            <w:r w:rsidRPr="00A25F2C">
              <w:t>6,760</w:t>
            </w:r>
          </w:p>
        </w:tc>
        <w:tc>
          <w:tcPr>
            <w:tcW w:w="564" w:type="pct"/>
          </w:tcPr>
          <w:p w14:paraId="10105903" w14:textId="77777777" w:rsidR="007F4791" w:rsidRPr="00A25F2C" w:rsidRDefault="007F4791" w:rsidP="00F13D2F">
            <w:pPr>
              <w:pStyle w:val="TableBodyText"/>
              <w:jc w:val="right"/>
            </w:pPr>
            <w:r w:rsidRPr="00A25F2C">
              <w:t>7,001</w:t>
            </w:r>
          </w:p>
        </w:tc>
        <w:tc>
          <w:tcPr>
            <w:tcW w:w="564" w:type="pct"/>
          </w:tcPr>
          <w:p w14:paraId="5E339497" w14:textId="77777777" w:rsidR="007F4791" w:rsidRPr="00A25F2C" w:rsidRDefault="007F4791" w:rsidP="00F13D2F">
            <w:pPr>
              <w:pStyle w:val="TableBodyText"/>
              <w:jc w:val="right"/>
            </w:pPr>
            <w:r w:rsidRPr="00A25F2C">
              <w:t>6,519</w:t>
            </w:r>
          </w:p>
        </w:tc>
        <w:tc>
          <w:tcPr>
            <w:tcW w:w="549" w:type="pct"/>
          </w:tcPr>
          <w:p w14:paraId="7BD85026" w14:textId="77777777" w:rsidR="007F4791" w:rsidRPr="00A25F2C" w:rsidRDefault="007F4791" w:rsidP="00F13D2F">
            <w:pPr>
              <w:pStyle w:val="TableBodyText"/>
              <w:jc w:val="right"/>
            </w:pPr>
            <w:r w:rsidRPr="00A25F2C">
              <w:t>7,098</w:t>
            </w:r>
          </w:p>
        </w:tc>
        <w:tc>
          <w:tcPr>
            <w:tcW w:w="549" w:type="pct"/>
          </w:tcPr>
          <w:p w14:paraId="3487C634" w14:textId="77777777" w:rsidR="007F4791" w:rsidRPr="00A25F2C" w:rsidRDefault="007F4791" w:rsidP="00F13D2F">
            <w:pPr>
              <w:pStyle w:val="TableBodyText"/>
              <w:jc w:val="right"/>
            </w:pPr>
            <w:r w:rsidRPr="00A25F2C">
              <w:t>6,422</w:t>
            </w:r>
          </w:p>
        </w:tc>
        <w:tc>
          <w:tcPr>
            <w:tcW w:w="601" w:type="pct"/>
          </w:tcPr>
          <w:p w14:paraId="57CB913B" w14:textId="77777777" w:rsidR="007F4791" w:rsidRPr="00A25F2C" w:rsidRDefault="007F4791" w:rsidP="00F13D2F">
            <w:pPr>
              <w:pStyle w:val="TableBodyText"/>
              <w:jc w:val="right"/>
            </w:pPr>
            <w:r w:rsidRPr="00A25F2C">
              <w:t>6,760</w:t>
            </w:r>
          </w:p>
        </w:tc>
        <w:tc>
          <w:tcPr>
            <w:tcW w:w="601" w:type="pct"/>
          </w:tcPr>
          <w:p w14:paraId="378F6431" w14:textId="77777777" w:rsidR="007F4791" w:rsidRPr="00A25F2C" w:rsidRDefault="007F4791" w:rsidP="00F13D2F">
            <w:pPr>
              <w:pStyle w:val="TableBodyText"/>
              <w:jc w:val="right"/>
            </w:pPr>
            <w:r w:rsidRPr="00A25F2C">
              <w:t>6,760</w:t>
            </w:r>
          </w:p>
        </w:tc>
      </w:tr>
      <w:tr w:rsidR="007F4791" w:rsidRPr="00A25F2C" w14:paraId="6A2264D8" w14:textId="77777777" w:rsidTr="00F13D2F">
        <w:tc>
          <w:tcPr>
            <w:tcW w:w="1164" w:type="pct"/>
          </w:tcPr>
          <w:p w14:paraId="09F3ED33" w14:textId="77777777" w:rsidR="007F4791" w:rsidRPr="00A25F2C" w:rsidRDefault="007F4791" w:rsidP="004E1FA1">
            <w:pPr>
              <w:pStyle w:val="TableBodyText"/>
            </w:pPr>
            <w:r w:rsidRPr="00A25F2C">
              <w:t>Gearing (Debt to Assets) (average)</w:t>
            </w:r>
          </w:p>
        </w:tc>
        <w:tc>
          <w:tcPr>
            <w:tcW w:w="409" w:type="pct"/>
          </w:tcPr>
          <w:p w14:paraId="6DDF82FC" w14:textId="77777777" w:rsidR="007F4791" w:rsidRPr="00A25F2C" w:rsidRDefault="007F4791" w:rsidP="00F13D2F">
            <w:pPr>
              <w:pStyle w:val="TableBodyText"/>
              <w:jc w:val="right"/>
            </w:pPr>
            <w:r w:rsidRPr="00A25F2C">
              <w:t>52.4%</w:t>
            </w:r>
          </w:p>
        </w:tc>
        <w:tc>
          <w:tcPr>
            <w:tcW w:w="564" w:type="pct"/>
          </w:tcPr>
          <w:p w14:paraId="32B0E600" w14:textId="77777777" w:rsidR="007F4791" w:rsidRPr="00A25F2C" w:rsidRDefault="007F4791" w:rsidP="00F13D2F">
            <w:pPr>
              <w:pStyle w:val="TableBodyText"/>
              <w:jc w:val="right"/>
            </w:pPr>
            <w:r w:rsidRPr="00A25F2C">
              <w:t>52.4%</w:t>
            </w:r>
          </w:p>
        </w:tc>
        <w:tc>
          <w:tcPr>
            <w:tcW w:w="564" w:type="pct"/>
          </w:tcPr>
          <w:p w14:paraId="47744991" w14:textId="77777777" w:rsidR="007F4791" w:rsidRPr="00A25F2C" w:rsidRDefault="007F4791" w:rsidP="00F13D2F">
            <w:pPr>
              <w:pStyle w:val="TableBodyText"/>
              <w:jc w:val="right"/>
            </w:pPr>
            <w:r w:rsidRPr="00A25F2C">
              <w:t>52.4%</w:t>
            </w:r>
          </w:p>
        </w:tc>
        <w:tc>
          <w:tcPr>
            <w:tcW w:w="549" w:type="pct"/>
          </w:tcPr>
          <w:p w14:paraId="53372906" w14:textId="77777777" w:rsidR="007F4791" w:rsidRPr="00A25F2C" w:rsidRDefault="007F4791" w:rsidP="00F13D2F">
            <w:pPr>
              <w:pStyle w:val="TableBodyText"/>
              <w:jc w:val="right"/>
            </w:pPr>
            <w:r w:rsidRPr="00A25F2C">
              <w:t>52.8%</w:t>
            </w:r>
          </w:p>
        </w:tc>
        <w:tc>
          <w:tcPr>
            <w:tcW w:w="549" w:type="pct"/>
          </w:tcPr>
          <w:p w14:paraId="062DB3DC" w14:textId="77777777" w:rsidR="007F4791" w:rsidRPr="00A25F2C" w:rsidRDefault="007F4791" w:rsidP="00F13D2F">
            <w:pPr>
              <w:pStyle w:val="TableBodyText"/>
              <w:jc w:val="right"/>
            </w:pPr>
            <w:r w:rsidRPr="00A25F2C">
              <w:t>52.0%</w:t>
            </w:r>
          </w:p>
        </w:tc>
        <w:tc>
          <w:tcPr>
            <w:tcW w:w="601" w:type="pct"/>
          </w:tcPr>
          <w:p w14:paraId="2259A8E2" w14:textId="77777777" w:rsidR="007F4791" w:rsidRPr="00A25F2C" w:rsidRDefault="007F4791" w:rsidP="00F13D2F">
            <w:pPr>
              <w:pStyle w:val="TableBodyText"/>
              <w:jc w:val="right"/>
            </w:pPr>
            <w:r w:rsidRPr="00A25F2C">
              <w:t>52.3%</w:t>
            </w:r>
          </w:p>
        </w:tc>
        <w:tc>
          <w:tcPr>
            <w:tcW w:w="601" w:type="pct"/>
          </w:tcPr>
          <w:p w14:paraId="64B0B526" w14:textId="77777777" w:rsidR="007F4791" w:rsidRPr="00A25F2C" w:rsidRDefault="007F4791" w:rsidP="00F13D2F">
            <w:pPr>
              <w:pStyle w:val="TableBodyText"/>
              <w:jc w:val="right"/>
            </w:pPr>
            <w:r w:rsidRPr="00A25F2C">
              <w:t>52.6%</w:t>
            </w:r>
          </w:p>
        </w:tc>
      </w:tr>
      <w:tr w:rsidR="007F4791" w:rsidRPr="00A25F2C" w14:paraId="2089C52B" w14:textId="77777777" w:rsidTr="00F13D2F">
        <w:tc>
          <w:tcPr>
            <w:tcW w:w="1164" w:type="pct"/>
          </w:tcPr>
          <w:p w14:paraId="44839DD7" w14:textId="77777777" w:rsidR="007F4791" w:rsidRPr="00A25F2C" w:rsidRDefault="007F4791" w:rsidP="004E1FA1">
            <w:pPr>
              <w:pStyle w:val="TableBodyText"/>
            </w:pPr>
            <w:r w:rsidRPr="00A25F2C">
              <w:t>Cash Interest Cover (average)</w:t>
            </w:r>
          </w:p>
        </w:tc>
        <w:tc>
          <w:tcPr>
            <w:tcW w:w="409" w:type="pct"/>
          </w:tcPr>
          <w:p w14:paraId="084B261D" w14:textId="77777777" w:rsidR="007F4791" w:rsidRPr="00A25F2C" w:rsidRDefault="007F4791" w:rsidP="00F13D2F">
            <w:pPr>
              <w:pStyle w:val="TableBodyText"/>
              <w:jc w:val="right"/>
            </w:pPr>
            <w:r w:rsidRPr="00A25F2C">
              <w:t>2.1</w:t>
            </w:r>
          </w:p>
        </w:tc>
        <w:tc>
          <w:tcPr>
            <w:tcW w:w="564" w:type="pct"/>
          </w:tcPr>
          <w:p w14:paraId="4601D451" w14:textId="77777777" w:rsidR="007F4791" w:rsidRPr="00A25F2C" w:rsidRDefault="007F4791" w:rsidP="00F13D2F">
            <w:pPr>
              <w:pStyle w:val="TableBodyText"/>
              <w:jc w:val="right"/>
            </w:pPr>
            <w:r w:rsidRPr="00A25F2C">
              <w:t>2.2</w:t>
            </w:r>
          </w:p>
        </w:tc>
        <w:tc>
          <w:tcPr>
            <w:tcW w:w="564" w:type="pct"/>
          </w:tcPr>
          <w:p w14:paraId="4F3B0097" w14:textId="77777777" w:rsidR="007F4791" w:rsidRPr="00A25F2C" w:rsidRDefault="007F4791" w:rsidP="00F13D2F">
            <w:pPr>
              <w:pStyle w:val="TableBodyText"/>
              <w:jc w:val="right"/>
            </w:pPr>
            <w:r w:rsidRPr="00A25F2C">
              <w:t>2.1</w:t>
            </w:r>
          </w:p>
        </w:tc>
        <w:tc>
          <w:tcPr>
            <w:tcW w:w="549" w:type="pct"/>
          </w:tcPr>
          <w:p w14:paraId="2592808A" w14:textId="77777777" w:rsidR="007F4791" w:rsidRPr="00A25F2C" w:rsidRDefault="007F4791" w:rsidP="00F13D2F">
            <w:pPr>
              <w:pStyle w:val="TableBodyText"/>
              <w:jc w:val="right"/>
            </w:pPr>
            <w:r w:rsidRPr="00A25F2C">
              <w:t>2.1</w:t>
            </w:r>
          </w:p>
        </w:tc>
        <w:tc>
          <w:tcPr>
            <w:tcW w:w="549" w:type="pct"/>
          </w:tcPr>
          <w:p w14:paraId="005A0641" w14:textId="77777777" w:rsidR="007F4791" w:rsidRPr="00A25F2C" w:rsidRDefault="007F4791" w:rsidP="00F13D2F">
            <w:pPr>
              <w:pStyle w:val="TableBodyText"/>
              <w:jc w:val="right"/>
            </w:pPr>
            <w:r w:rsidRPr="00A25F2C">
              <w:t>2.1</w:t>
            </w:r>
          </w:p>
        </w:tc>
        <w:tc>
          <w:tcPr>
            <w:tcW w:w="601" w:type="pct"/>
          </w:tcPr>
          <w:p w14:paraId="18AE901B" w14:textId="77777777" w:rsidR="007F4791" w:rsidRPr="00A25F2C" w:rsidRDefault="007F4791" w:rsidP="00F13D2F">
            <w:pPr>
              <w:pStyle w:val="TableBodyText"/>
              <w:jc w:val="right"/>
            </w:pPr>
            <w:r w:rsidRPr="00A25F2C">
              <w:t>2.2</w:t>
            </w:r>
          </w:p>
        </w:tc>
        <w:tc>
          <w:tcPr>
            <w:tcW w:w="601" w:type="pct"/>
          </w:tcPr>
          <w:p w14:paraId="7BDB20E4" w14:textId="77777777" w:rsidR="007F4791" w:rsidRPr="00A25F2C" w:rsidRDefault="007F4791" w:rsidP="00F13D2F">
            <w:pPr>
              <w:pStyle w:val="TableBodyText"/>
              <w:jc w:val="right"/>
            </w:pPr>
            <w:r w:rsidRPr="00A25F2C">
              <w:t>2.1</w:t>
            </w:r>
          </w:p>
        </w:tc>
      </w:tr>
      <w:tr w:rsidR="007F4791" w:rsidRPr="00A25F2C" w14:paraId="197330D5" w14:textId="77777777" w:rsidTr="00F13D2F">
        <w:tc>
          <w:tcPr>
            <w:tcW w:w="1164" w:type="pct"/>
          </w:tcPr>
          <w:p w14:paraId="605DD5B7" w14:textId="77777777" w:rsidR="007F4791" w:rsidRPr="00A25F2C" w:rsidRDefault="007F4791" w:rsidP="004E1FA1">
            <w:pPr>
              <w:pStyle w:val="TableBodyText"/>
            </w:pPr>
            <w:r w:rsidRPr="00A25F2C">
              <w:t>Cash to Government (total)</w:t>
            </w:r>
          </w:p>
        </w:tc>
        <w:tc>
          <w:tcPr>
            <w:tcW w:w="409" w:type="pct"/>
          </w:tcPr>
          <w:p w14:paraId="0ADCB82F" w14:textId="77777777" w:rsidR="007F4791" w:rsidRPr="00A25F2C" w:rsidRDefault="007F4791" w:rsidP="00F13D2F">
            <w:pPr>
              <w:pStyle w:val="TableBodyText"/>
              <w:jc w:val="right"/>
            </w:pPr>
            <w:r w:rsidRPr="00A25F2C">
              <w:t>912</w:t>
            </w:r>
          </w:p>
        </w:tc>
        <w:tc>
          <w:tcPr>
            <w:tcW w:w="564" w:type="pct"/>
          </w:tcPr>
          <w:p w14:paraId="5092895D" w14:textId="77777777" w:rsidR="007F4791" w:rsidRPr="00A25F2C" w:rsidRDefault="007F4791" w:rsidP="00F13D2F">
            <w:pPr>
              <w:pStyle w:val="TableBodyText"/>
              <w:jc w:val="right"/>
            </w:pPr>
            <w:r w:rsidRPr="00A25F2C">
              <w:t>1,052</w:t>
            </w:r>
          </w:p>
        </w:tc>
        <w:tc>
          <w:tcPr>
            <w:tcW w:w="564" w:type="pct"/>
          </w:tcPr>
          <w:p w14:paraId="20AC87A8" w14:textId="77777777" w:rsidR="007F4791" w:rsidRPr="00A25F2C" w:rsidRDefault="007F4791" w:rsidP="00F13D2F">
            <w:pPr>
              <w:pStyle w:val="TableBodyText"/>
              <w:jc w:val="right"/>
            </w:pPr>
            <w:r w:rsidRPr="00A25F2C">
              <w:t>776</w:t>
            </w:r>
          </w:p>
        </w:tc>
        <w:tc>
          <w:tcPr>
            <w:tcW w:w="549" w:type="pct"/>
          </w:tcPr>
          <w:p w14:paraId="15DD0DD4" w14:textId="77777777" w:rsidR="007F4791" w:rsidRPr="00A25F2C" w:rsidRDefault="007F4791" w:rsidP="00F13D2F">
            <w:pPr>
              <w:pStyle w:val="TableBodyText"/>
              <w:jc w:val="right"/>
            </w:pPr>
            <w:r w:rsidRPr="00A25F2C">
              <w:t>899</w:t>
            </w:r>
          </w:p>
        </w:tc>
        <w:tc>
          <w:tcPr>
            <w:tcW w:w="549" w:type="pct"/>
          </w:tcPr>
          <w:p w14:paraId="5C6830AA" w14:textId="77777777" w:rsidR="007F4791" w:rsidRPr="00A25F2C" w:rsidRDefault="007F4791" w:rsidP="00F13D2F">
            <w:pPr>
              <w:pStyle w:val="TableBodyText"/>
              <w:jc w:val="right"/>
            </w:pPr>
            <w:r w:rsidRPr="00A25F2C">
              <w:t>925</w:t>
            </w:r>
          </w:p>
        </w:tc>
        <w:tc>
          <w:tcPr>
            <w:tcW w:w="601" w:type="pct"/>
          </w:tcPr>
          <w:p w14:paraId="241FE1DF" w14:textId="77777777" w:rsidR="007F4791" w:rsidRPr="00A25F2C" w:rsidRDefault="007F4791" w:rsidP="00F13D2F">
            <w:pPr>
              <w:pStyle w:val="TableBodyText"/>
              <w:jc w:val="right"/>
            </w:pPr>
            <w:r w:rsidRPr="00A25F2C">
              <w:t>971</w:t>
            </w:r>
          </w:p>
        </w:tc>
        <w:tc>
          <w:tcPr>
            <w:tcW w:w="601" w:type="pct"/>
          </w:tcPr>
          <w:p w14:paraId="7628E201" w14:textId="77777777" w:rsidR="007F4791" w:rsidRPr="00A25F2C" w:rsidRDefault="007F4791" w:rsidP="00F13D2F">
            <w:pPr>
              <w:pStyle w:val="TableBodyText"/>
              <w:jc w:val="right"/>
            </w:pPr>
            <w:r w:rsidRPr="00A25F2C">
              <w:t>830</w:t>
            </w:r>
          </w:p>
        </w:tc>
      </w:tr>
      <w:tr w:rsidR="007F4791" w:rsidRPr="00A25F2C" w14:paraId="7C2B606B" w14:textId="77777777" w:rsidTr="00F13D2F">
        <w:tc>
          <w:tcPr>
            <w:tcW w:w="1164" w:type="pct"/>
          </w:tcPr>
          <w:p w14:paraId="73252794" w14:textId="77777777" w:rsidR="007F4791" w:rsidRPr="00A25F2C" w:rsidRDefault="007F4791" w:rsidP="004E1FA1">
            <w:pPr>
              <w:pStyle w:val="TableBodyText"/>
            </w:pPr>
            <w:r w:rsidRPr="00A25F2C">
              <w:t>Free Cash flow (total)</w:t>
            </w:r>
          </w:p>
        </w:tc>
        <w:tc>
          <w:tcPr>
            <w:tcW w:w="409" w:type="pct"/>
          </w:tcPr>
          <w:p w14:paraId="736C4E8D" w14:textId="77777777" w:rsidR="007F4791" w:rsidRPr="00A25F2C" w:rsidRDefault="007F4791" w:rsidP="00F13D2F">
            <w:pPr>
              <w:pStyle w:val="TableBodyText"/>
              <w:jc w:val="right"/>
            </w:pPr>
            <w:r w:rsidRPr="00A25F2C">
              <w:t>(3,589)</w:t>
            </w:r>
          </w:p>
        </w:tc>
        <w:tc>
          <w:tcPr>
            <w:tcW w:w="564" w:type="pct"/>
          </w:tcPr>
          <w:p w14:paraId="1D0E65BF" w14:textId="77777777" w:rsidR="007F4791" w:rsidRPr="00A25F2C" w:rsidRDefault="007F4791" w:rsidP="00F13D2F">
            <w:pPr>
              <w:pStyle w:val="TableBodyText"/>
              <w:jc w:val="right"/>
            </w:pPr>
            <w:r w:rsidRPr="00A25F2C">
              <w:t>(3,663)</w:t>
            </w:r>
          </w:p>
        </w:tc>
        <w:tc>
          <w:tcPr>
            <w:tcW w:w="564" w:type="pct"/>
          </w:tcPr>
          <w:p w14:paraId="4C6200DD" w14:textId="77777777" w:rsidR="007F4791" w:rsidRPr="00A25F2C" w:rsidRDefault="007F4791" w:rsidP="00F13D2F">
            <w:pPr>
              <w:pStyle w:val="TableBodyText"/>
              <w:jc w:val="right"/>
            </w:pPr>
            <w:r w:rsidRPr="00A25F2C">
              <w:t>(3,516)</w:t>
            </w:r>
          </w:p>
        </w:tc>
        <w:tc>
          <w:tcPr>
            <w:tcW w:w="549" w:type="pct"/>
          </w:tcPr>
          <w:p w14:paraId="66C80C21" w14:textId="77777777" w:rsidR="007F4791" w:rsidRPr="00A25F2C" w:rsidRDefault="007F4791" w:rsidP="00F13D2F">
            <w:pPr>
              <w:pStyle w:val="TableBodyText"/>
              <w:jc w:val="right"/>
            </w:pPr>
            <w:r w:rsidRPr="00A25F2C">
              <w:t>(3,943)</w:t>
            </w:r>
          </w:p>
        </w:tc>
        <w:tc>
          <w:tcPr>
            <w:tcW w:w="549" w:type="pct"/>
          </w:tcPr>
          <w:p w14:paraId="238632C5" w14:textId="77777777" w:rsidR="007F4791" w:rsidRPr="00A25F2C" w:rsidRDefault="007F4791" w:rsidP="00F13D2F">
            <w:pPr>
              <w:pStyle w:val="TableBodyText"/>
              <w:jc w:val="right"/>
            </w:pPr>
            <w:r w:rsidRPr="00A25F2C">
              <w:t>(3,241)</w:t>
            </w:r>
          </w:p>
        </w:tc>
        <w:tc>
          <w:tcPr>
            <w:tcW w:w="601" w:type="pct"/>
          </w:tcPr>
          <w:p w14:paraId="6E566ECE" w14:textId="77777777" w:rsidR="007F4791" w:rsidRPr="00A25F2C" w:rsidRDefault="007F4791" w:rsidP="00F13D2F">
            <w:pPr>
              <w:pStyle w:val="TableBodyText"/>
              <w:jc w:val="right"/>
            </w:pPr>
            <w:r w:rsidRPr="00A25F2C">
              <w:t>(3,517)</w:t>
            </w:r>
          </w:p>
        </w:tc>
        <w:tc>
          <w:tcPr>
            <w:tcW w:w="601" w:type="pct"/>
          </w:tcPr>
          <w:p w14:paraId="04E5BA5E" w14:textId="77777777" w:rsidR="007F4791" w:rsidRPr="00A25F2C" w:rsidRDefault="007F4791" w:rsidP="00F13D2F">
            <w:pPr>
              <w:pStyle w:val="TableBodyText"/>
              <w:jc w:val="right"/>
            </w:pPr>
            <w:r w:rsidRPr="00A25F2C">
              <w:t>(3,692)</w:t>
            </w:r>
          </w:p>
        </w:tc>
      </w:tr>
    </w:tbl>
    <w:p w14:paraId="271ED286" w14:textId="77777777" w:rsidR="007F4791" w:rsidRPr="00A25F2C" w:rsidRDefault="007F4791" w:rsidP="007F4791">
      <w:pPr>
        <w:pStyle w:val="BodyText"/>
      </w:pPr>
      <w:r w:rsidRPr="00A25F2C">
        <w:t>All tables subject to rounding</w:t>
      </w:r>
    </w:p>
    <w:p w14:paraId="647F16A6" w14:textId="4288B309" w:rsidR="007F4791" w:rsidRPr="00A25F2C" w:rsidRDefault="007F4791" w:rsidP="00F13D2F">
      <w:pPr>
        <w:pStyle w:val="ListNumber"/>
        <w:numPr>
          <w:ilvl w:val="0"/>
          <w:numId w:val="29"/>
        </w:numPr>
      </w:pPr>
      <w:bookmarkStart w:id="75" w:name="NoteE24a"/>
      <w:bookmarkEnd w:id="75"/>
      <w:r w:rsidRPr="00A25F2C">
        <w:t xml:space="preserve">Developer Revenue </w:t>
      </w:r>
      <w:proofErr w:type="gramStart"/>
      <w:r w:rsidRPr="00A25F2C">
        <w:t>consists</w:t>
      </w:r>
      <w:proofErr w:type="gramEnd"/>
      <w:r w:rsidRPr="00A25F2C">
        <w:t xml:space="preserve"> of Developer Contributions and Contributed Assets forecasts. </w:t>
      </w:r>
      <w:proofErr w:type="gramStart"/>
      <w:r w:rsidRPr="00A25F2C">
        <w:t>Typically</w:t>
      </w:r>
      <w:proofErr w:type="gramEnd"/>
      <w:r w:rsidRPr="00A25F2C">
        <w:t xml:space="preserve"> when developer activity increases, a corresponding increase would be reported against revenue and capital expenses (and vice versa). Developer Revenue by nature is difficult to forecast accurately, therefore is exposed to greater sensitivity than other key performance drivers.</w:t>
      </w:r>
    </w:p>
    <w:p w14:paraId="7A94D271" w14:textId="4B0ED0D2" w:rsidR="007F4791" w:rsidRPr="00A25F2C" w:rsidRDefault="007F4791" w:rsidP="00F13D2F">
      <w:pPr>
        <w:pStyle w:val="ListNumber"/>
        <w:numPr>
          <w:ilvl w:val="0"/>
          <w:numId w:val="29"/>
        </w:numPr>
      </w:pPr>
      <w:bookmarkStart w:id="76" w:name="NoteE24b"/>
      <w:r w:rsidRPr="00A25F2C">
        <w:lastRenderedPageBreak/>
        <w:t>The 25% increase scenario represents the probability upper range forecast, compared to historical levels.</w:t>
      </w:r>
    </w:p>
    <w:p w14:paraId="3A5A27B8" w14:textId="126DDFA9" w:rsidR="007F4791" w:rsidRPr="00A25F2C" w:rsidRDefault="007F4791" w:rsidP="00F13D2F">
      <w:pPr>
        <w:pStyle w:val="ListNumber"/>
        <w:numPr>
          <w:ilvl w:val="0"/>
          <w:numId w:val="29"/>
        </w:numPr>
      </w:pPr>
      <w:bookmarkStart w:id="77" w:name="NoteE24c"/>
      <w:bookmarkEnd w:id="76"/>
      <w:r w:rsidRPr="00A25F2C">
        <w:t>The 25% decrease scenario represents the possible slowdown of developer activity compared to the base case.</w:t>
      </w:r>
    </w:p>
    <w:p w14:paraId="2FB2A2A0" w14:textId="1C2A01EE" w:rsidR="007F4791" w:rsidRPr="00A25F2C" w:rsidRDefault="007F4791" w:rsidP="00F13D2F">
      <w:pPr>
        <w:pStyle w:val="ListNumber"/>
        <w:numPr>
          <w:ilvl w:val="0"/>
          <w:numId w:val="29"/>
        </w:numPr>
      </w:pPr>
      <w:bookmarkStart w:id="78" w:name="NoteE24d"/>
      <w:bookmarkEnd w:id="78"/>
      <w:bookmarkEnd w:id="77"/>
      <w:r w:rsidRPr="00A25F2C">
        <w:t>Demand relates to Bulk Water and Bulk Sewerage volume assumptions, whereas Customers relates to the Waterways Charge customer number assumptions.</w:t>
      </w:r>
    </w:p>
    <w:p w14:paraId="7315935D" w14:textId="1298CF65" w:rsidR="007F4791" w:rsidRPr="00A25F2C" w:rsidRDefault="007F4791" w:rsidP="00F13D2F">
      <w:pPr>
        <w:pStyle w:val="ListNumber"/>
        <w:numPr>
          <w:ilvl w:val="0"/>
          <w:numId w:val="29"/>
        </w:numPr>
      </w:pPr>
      <w:bookmarkStart w:id="79" w:name="NoteE24e"/>
      <w:r w:rsidRPr="00A25F2C">
        <w:t>The 5% increase scenario represents the sensitivity to a 5% increase in Bulk Water and Bulk Sewerage demand, and a 1% increase in the Waterways Charge customer numbers compared to the base case. Base case assumptions are detailed earlier in the Appendix E – Financials tables.</w:t>
      </w:r>
    </w:p>
    <w:p w14:paraId="75CF970A" w14:textId="0B59178F" w:rsidR="00143D6B" w:rsidRDefault="007F4791" w:rsidP="00F13D2F">
      <w:pPr>
        <w:pStyle w:val="ListNumber"/>
        <w:numPr>
          <w:ilvl w:val="0"/>
          <w:numId w:val="29"/>
        </w:numPr>
      </w:pPr>
      <w:bookmarkStart w:id="80" w:name="NoteE24f"/>
      <w:bookmarkEnd w:id="79"/>
      <w:r w:rsidRPr="00A25F2C">
        <w:t>The 5% decrease scenario represents the sensitivity to a 5% decrease in Bulk Water and Bulk Sewerage demand, and zero growth to the Waterways Charge customer numbers compared to the base case. Demand is less sensitive to COVID-19 impacts as a significant portion of Bulk Water and Bulk Sewerage revenue are fixed, whereas Waterways Charge customer numbers are sensitive to a possible population slowdown.</w:t>
      </w:r>
    </w:p>
    <w:bookmarkEnd w:id="80"/>
    <w:sectPr w:rsidR="00143D6B" w:rsidSect="00EA2D5D">
      <w:endnotePr>
        <w:numFmt w:val="decimal"/>
      </w:endnotePr>
      <w:pgSz w:w="11900"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974F" w14:textId="77777777" w:rsidR="009242DE" w:rsidRDefault="009242DE" w:rsidP="00BC719D">
      <w:r>
        <w:separator/>
      </w:r>
    </w:p>
    <w:p w14:paraId="174B7896" w14:textId="77777777" w:rsidR="009242DE" w:rsidRDefault="009242DE"/>
  </w:endnote>
  <w:endnote w:type="continuationSeparator" w:id="0">
    <w:p w14:paraId="388957E3" w14:textId="77777777" w:rsidR="009242DE" w:rsidRDefault="009242DE" w:rsidP="00EA2130">
      <w:r>
        <w:continuationSeparator/>
      </w:r>
    </w:p>
    <w:p w14:paraId="07FD8200" w14:textId="77777777" w:rsidR="009242DE" w:rsidRDefault="0092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05D5" w14:textId="77777777" w:rsidR="007F4791" w:rsidRPr="00090557" w:rsidRDefault="007F4791" w:rsidP="006D45A4">
    <w:pPr>
      <w:pStyle w:val="Footer"/>
    </w:pP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EBBD" w14:textId="77777777" w:rsidR="009242DE" w:rsidRPr="00B75A8E" w:rsidRDefault="009242DE" w:rsidP="00B75A8E">
      <w:r>
        <w:separator/>
      </w:r>
    </w:p>
    <w:p w14:paraId="524593AA" w14:textId="77777777" w:rsidR="009242DE" w:rsidRDefault="009242DE"/>
  </w:footnote>
  <w:footnote w:type="continuationSeparator" w:id="0">
    <w:p w14:paraId="4EE7AA75" w14:textId="77777777" w:rsidR="009242DE" w:rsidRDefault="009242DE" w:rsidP="00EA2130">
      <w:r>
        <w:continuationSeparator/>
      </w:r>
    </w:p>
    <w:p w14:paraId="28831B34" w14:textId="77777777" w:rsidR="009242DE" w:rsidRDefault="009242DE"/>
  </w:footnote>
  <w:footnote w:id="1">
    <w:p w14:paraId="0E6EED2A" w14:textId="3E5D057F" w:rsidR="00774D7C" w:rsidRPr="00774D7C" w:rsidRDefault="00774D7C">
      <w:pPr>
        <w:pStyle w:val="FootnoteText"/>
        <w:rPr>
          <w:lang w:val="en-US"/>
        </w:rPr>
      </w:pPr>
      <w:r>
        <w:rPr>
          <w:rStyle w:val="FootnoteReference"/>
        </w:rPr>
        <w:footnoteRef/>
      </w:r>
      <w:r>
        <w:t xml:space="preserve"> </w:t>
      </w:r>
      <w:r w:rsidRPr="00774D7C">
        <w:t>https://www.water.vic.gov.au/water-for-victoria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1CC"/>
    <w:multiLevelType w:val="multilevel"/>
    <w:tmpl w:val="6C3E267A"/>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 w15:restartNumberingAfterBreak="0">
    <w:nsid w:val="1D707F6C"/>
    <w:multiLevelType w:val="hybridMultilevel"/>
    <w:tmpl w:val="6D720AF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8D1A98C0">
      <w:start w:val="1"/>
      <w:numFmt w:val="decimal"/>
      <w:pStyle w:val="PullBoxNumber"/>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36CB565A"/>
    <w:multiLevelType w:val="multilevel"/>
    <w:tmpl w:val="E4D8BAB8"/>
    <w:name w:val="Headings"/>
    <w:lvl w:ilvl="0">
      <w:start w:val="1"/>
      <w:numFmt w:val="decimal"/>
      <w:suff w:val="nothing"/>
      <w:lvlText w:val="Section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8D25FB"/>
    <w:multiLevelType w:val="multilevel"/>
    <w:tmpl w:val="84982CE0"/>
    <w:lvl w:ilvl="0">
      <w:start w:val="1"/>
      <w:numFmt w:val="bullet"/>
      <w:pStyle w:val="TableBullet"/>
      <w:lvlText w:val="–"/>
      <w:lvlJc w:val="left"/>
      <w:pPr>
        <w:ind w:left="170" w:hanging="170"/>
      </w:pPr>
      <w:rPr>
        <w:rFonts w:ascii="Calibri" w:hAnsi="Calibri" w:hint="default"/>
      </w:rPr>
    </w:lvl>
    <w:lvl w:ilvl="1">
      <w:start w:val="1"/>
      <w:numFmt w:val="bullet"/>
      <w:pStyle w:val="TableBullet2"/>
      <w:lvlText w:val="–"/>
      <w:lvlJc w:val="left"/>
      <w:pPr>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38C10957"/>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6C0C69B8"/>
    <w:multiLevelType w:val="hybridMultilevel"/>
    <w:tmpl w:val="BFDCDB84"/>
    <w:lvl w:ilvl="0" w:tplc="1A163360">
      <w:start w:val="1"/>
      <w:numFmt w:val="bullet"/>
      <w:pStyle w:val="PullBox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1217231934">
    <w:abstractNumId w:val="0"/>
    <w:lvlOverride w:ilvl="0">
      <w:lvl w:ilvl="0">
        <w:start w:val="1"/>
        <w:numFmt w:val="bullet"/>
        <w:pStyle w:val="ListBullet"/>
        <w:lvlText w:val=""/>
        <w:lvlJc w:val="left"/>
        <w:pPr>
          <w:ind w:left="357" w:hanging="357"/>
        </w:pPr>
        <w:rPr>
          <w:rFonts w:ascii="Symbol" w:hAnsi="Symbol" w:hint="default"/>
        </w:rPr>
      </w:lvl>
    </w:lvlOverride>
    <w:lvlOverride w:ilvl="1">
      <w:lvl w:ilvl="1">
        <w:start w:val="1"/>
        <w:numFmt w:val="bullet"/>
        <w:pStyle w:val="ListBullet2"/>
        <w:lvlText w:val="o"/>
        <w:lvlJc w:val="left"/>
        <w:pPr>
          <w:tabs>
            <w:tab w:val="num" w:pos="717"/>
          </w:tabs>
          <w:ind w:left="714" w:hanging="357"/>
        </w:pPr>
        <w:rPr>
          <w:rFonts w:ascii="Courier New" w:hAnsi="Courier New" w:hint="default"/>
        </w:rPr>
      </w:lvl>
    </w:lvlOverride>
    <w:lvlOverride w:ilvl="2">
      <w:lvl w:ilvl="2">
        <w:start w:val="1"/>
        <w:numFmt w:val="bullet"/>
        <w:pStyle w:val="ListBullet3"/>
        <w:lvlText w:val=""/>
        <w:lvlJc w:val="left"/>
        <w:pPr>
          <w:tabs>
            <w:tab w:val="num" w:pos="1074"/>
          </w:tabs>
          <w:ind w:left="1071" w:hanging="357"/>
        </w:pPr>
        <w:rPr>
          <w:rFonts w:ascii="Symbol" w:hAnsi="Symbol" w:hint="default"/>
        </w:rPr>
      </w:lvl>
    </w:lvlOverride>
    <w:lvlOverride w:ilvl="3">
      <w:lvl w:ilvl="3">
        <w:start w:val="1"/>
        <w:numFmt w:val="bullet"/>
        <w:pStyle w:val="ListBullet4"/>
        <w:lvlText w:val="o"/>
        <w:lvlJc w:val="left"/>
        <w:pPr>
          <w:tabs>
            <w:tab w:val="num" w:pos="1431"/>
          </w:tabs>
          <w:ind w:left="1428" w:hanging="357"/>
        </w:pPr>
        <w:rPr>
          <w:rFonts w:ascii="Courier New" w:hAnsi="Courier New" w:hint="default"/>
        </w:rPr>
      </w:lvl>
    </w:lvlOverride>
    <w:lvlOverride w:ilvl="4">
      <w:lvl w:ilvl="4">
        <w:start w:val="1"/>
        <w:numFmt w:val="bullet"/>
        <w:pStyle w:val="ListBullet5"/>
        <w:lvlText w:val=""/>
        <w:lvlJc w:val="left"/>
        <w:pPr>
          <w:tabs>
            <w:tab w:val="num" w:pos="1788"/>
          </w:tabs>
          <w:ind w:left="1785" w:hanging="357"/>
        </w:pPr>
        <w:rPr>
          <w:rFonts w:ascii="Symbol" w:hAnsi="Symbol" w:hint="default"/>
        </w:rPr>
      </w:lvl>
    </w:lvlOverride>
    <w:lvlOverride w:ilvl="5">
      <w:lvl w:ilvl="5">
        <w:start w:val="1"/>
        <w:numFmt w:val="none"/>
        <w:lvlText w:val=""/>
        <w:lvlJc w:val="left"/>
        <w:pPr>
          <w:tabs>
            <w:tab w:val="num" w:pos="2145"/>
          </w:tabs>
          <w:ind w:left="2142" w:hanging="357"/>
        </w:pPr>
        <w:rPr>
          <w:rFonts w:hint="default"/>
        </w:rPr>
      </w:lvl>
    </w:lvlOverride>
    <w:lvlOverride w:ilvl="6">
      <w:lvl w:ilvl="6">
        <w:start w:val="1"/>
        <w:numFmt w:val="none"/>
        <w:lvlText w:val=""/>
        <w:lvlJc w:val="left"/>
        <w:pPr>
          <w:tabs>
            <w:tab w:val="num" w:pos="2502"/>
          </w:tabs>
          <w:ind w:left="2499" w:hanging="357"/>
        </w:pPr>
        <w:rPr>
          <w:rFonts w:hint="default"/>
        </w:rPr>
      </w:lvl>
    </w:lvlOverride>
    <w:lvlOverride w:ilvl="7">
      <w:lvl w:ilvl="7">
        <w:start w:val="1"/>
        <w:numFmt w:val="none"/>
        <w:lvlText w:val=""/>
        <w:lvlJc w:val="left"/>
        <w:pPr>
          <w:tabs>
            <w:tab w:val="num" w:pos="2859"/>
          </w:tabs>
          <w:ind w:left="2856" w:hanging="357"/>
        </w:pPr>
        <w:rPr>
          <w:rFonts w:hint="default"/>
        </w:rPr>
      </w:lvl>
    </w:lvlOverride>
    <w:lvlOverride w:ilvl="8">
      <w:lvl w:ilvl="8">
        <w:start w:val="1"/>
        <w:numFmt w:val="none"/>
        <w:lvlText w:val=""/>
        <w:lvlJc w:val="left"/>
        <w:pPr>
          <w:tabs>
            <w:tab w:val="num" w:pos="3216"/>
          </w:tabs>
          <w:ind w:left="3213" w:hanging="357"/>
        </w:pPr>
        <w:rPr>
          <w:rFonts w:hint="default"/>
        </w:rPr>
      </w:lvl>
    </w:lvlOverride>
  </w:num>
  <w:num w:numId="2" w16cid:durableId="1730879574">
    <w:abstractNumId w:val="2"/>
  </w:num>
  <w:num w:numId="3" w16cid:durableId="969550423">
    <w:abstractNumId w:val="5"/>
  </w:num>
  <w:num w:numId="4" w16cid:durableId="1011028599">
    <w:abstractNumId w:val="1"/>
  </w:num>
  <w:num w:numId="5" w16cid:durableId="1205753710">
    <w:abstractNumId w:val="6"/>
  </w:num>
  <w:num w:numId="6" w16cid:durableId="1272862824">
    <w:abstractNumId w:val="4"/>
  </w:num>
  <w:num w:numId="7" w16cid:durableId="1117718099">
    <w:abstractNumId w:val="0"/>
  </w:num>
  <w:num w:numId="8" w16cid:durableId="1938253195">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9" w16cid:durableId="571237323">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0" w16cid:durableId="396132028">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1" w16cid:durableId="1309898874">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2" w16cid:durableId="1961952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8131072">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4" w16cid:durableId="1862086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39628">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6" w16cid:durableId="1071856621">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7" w16cid:durableId="339548109">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8" w16cid:durableId="594478012">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19" w16cid:durableId="693533406">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0" w16cid:durableId="440540060">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1" w16cid:durableId="1904682461">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2" w16cid:durableId="49545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524260">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4" w16cid:durableId="1474984393">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5" w16cid:durableId="1235045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1569758">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7" w16cid:durableId="693113741">
    <w:abstractNumId w:val="0"/>
    <w:lvlOverride w:ilvl="0">
      <w:startOverride w:val="1"/>
      <w:lvl w:ilvl="0">
        <w:start w:val="1"/>
        <w:numFmt w:val="bullet"/>
        <w:pStyle w:val="ListBullet"/>
        <w:lvlText w:val=""/>
        <w:lvlJc w:val="left"/>
        <w:pPr>
          <w:ind w:left="357" w:hanging="357"/>
        </w:pPr>
        <w:rPr>
          <w:rFonts w:ascii="Symbol" w:hAnsi="Symbol" w:hint="default"/>
        </w:rPr>
      </w:lvl>
    </w:lvlOverride>
    <w:lvlOverride w:ilvl="1">
      <w:startOverride w:val="1"/>
      <w:lvl w:ilvl="1">
        <w:start w:val="1"/>
        <w:numFmt w:val="bullet"/>
        <w:pStyle w:val="ListBullet2"/>
        <w:lvlText w:val="o"/>
        <w:lvlJc w:val="left"/>
        <w:pPr>
          <w:tabs>
            <w:tab w:val="num" w:pos="717"/>
          </w:tabs>
          <w:ind w:left="714" w:hanging="357"/>
        </w:pPr>
        <w:rPr>
          <w:rFonts w:ascii="Courier New" w:hAnsi="Courier New" w:hint="default"/>
        </w:rPr>
      </w:lvl>
    </w:lvlOverride>
    <w:lvlOverride w:ilvl="2">
      <w:startOverride w:val="1"/>
      <w:lvl w:ilvl="2">
        <w:start w:val="1"/>
        <w:numFmt w:val="bullet"/>
        <w:pStyle w:val="ListBullet3"/>
        <w:lvlText w:val=""/>
        <w:lvlJc w:val="left"/>
        <w:pPr>
          <w:tabs>
            <w:tab w:val="num" w:pos="1074"/>
          </w:tabs>
          <w:ind w:left="1071" w:hanging="357"/>
        </w:pPr>
        <w:rPr>
          <w:rFonts w:ascii="Symbol" w:hAnsi="Symbol" w:hint="default"/>
        </w:rPr>
      </w:lvl>
    </w:lvlOverride>
    <w:lvlOverride w:ilvl="3">
      <w:startOverride w:val="1"/>
      <w:lvl w:ilvl="3">
        <w:start w:val="1"/>
        <w:numFmt w:val="bullet"/>
        <w:pStyle w:val="ListBullet4"/>
        <w:lvlText w:val="o"/>
        <w:lvlJc w:val="left"/>
        <w:pPr>
          <w:tabs>
            <w:tab w:val="num" w:pos="1431"/>
          </w:tabs>
          <w:ind w:left="1428" w:hanging="357"/>
        </w:pPr>
        <w:rPr>
          <w:rFonts w:ascii="Courier New" w:hAnsi="Courier New" w:hint="default"/>
        </w:rPr>
      </w:lvl>
    </w:lvlOverride>
    <w:lvlOverride w:ilvl="4">
      <w:startOverride w:val="1"/>
      <w:lvl w:ilvl="4">
        <w:start w:val="1"/>
        <w:numFmt w:val="bullet"/>
        <w:pStyle w:val="ListBullet5"/>
        <w:lvlText w:val=""/>
        <w:lvlJc w:val="left"/>
        <w:pPr>
          <w:tabs>
            <w:tab w:val="num" w:pos="1788"/>
          </w:tabs>
          <w:ind w:left="1785" w:hanging="357"/>
        </w:pPr>
        <w:rPr>
          <w:rFonts w:ascii="Symbol" w:hAnsi="Symbol" w:hint="default"/>
        </w:rPr>
      </w:lvl>
    </w:lvlOverride>
    <w:lvlOverride w:ilvl="5">
      <w:startOverride w:val="1"/>
      <w:lvl w:ilvl="5">
        <w:start w:val="1"/>
        <w:numFmt w:val="none"/>
        <w:lvlText w:val=""/>
        <w:lvlJc w:val="left"/>
        <w:pPr>
          <w:tabs>
            <w:tab w:val="num" w:pos="2145"/>
          </w:tabs>
          <w:ind w:left="2142" w:hanging="357"/>
        </w:pPr>
        <w:rPr>
          <w:rFonts w:hint="default"/>
        </w:rPr>
      </w:lvl>
    </w:lvlOverride>
    <w:lvlOverride w:ilvl="6">
      <w:startOverride w:val="1"/>
      <w:lvl w:ilvl="6">
        <w:start w:val="1"/>
        <w:numFmt w:val="none"/>
        <w:lvlText w:val=""/>
        <w:lvlJc w:val="left"/>
        <w:pPr>
          <w:tabs>
            <w:tab w:val="num" w:pos="2502"/>
          </w:tabs>
          <w:ind w:left="2499" w:hanging="357"/>
        </w:pPr>
        <w:rPr>
          <w:rFonts w:hint="default"/>
        </w:rPr>
      </w:lvl>
    </w:lvlOverride>
    <w:lvlOverride w:ilvl="7">
      <w:startOverride w:val="1"/>
      <w:lvl w:ilvl="7">
        <w:start w:val="1"/>
        <w:numFmt w:val="none"/>
        <w:lvlText w:val=""/>
        <w:lvlJc w:val="left"/>
        <w:pPr>
          <w:tabs>
            <w:tab w:val="num" w:pos="2859"/>
          </w:tabs>
          <w:ind w:left="2856" w:hanging="357"/>
        </w:pPr>
        <w:rPr>
          <w:rFonts w:hint="default"/>
        </w:rPr>
      </w:lvl>
    </w:lvlOverride>
    <w:lvlOverride w:ilvl="8">
      <w:startOverride w:val="1"/>
      <w:lvl w:ilvl="8">
        <w:start w:val="1"/>
        <w:numFmt w:val="none"/>
        <w:lvlText w:val=""/>
        <w:lvlJc w:val="left"/>
        <w:pPr>
          <w:tabs>
            <w:tab w:val="num" w:pos="3216"/>
          </w:tabs>
          <w:ind w:left="3213" w:hanging="357"/>
        </w:pPr>
        <w:rPr>
          <w:rFonts w:hint="default"/>
        </w:rPr>
      </w:lvl>
    </w:lvlOverride>
  </w:num>
  <w:num w:numId="28" w16cid:durableId="1730302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425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41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629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DE"/>
    <w:rsid w:val="00000370"/>
    <w:rsid w:val="00001520"/>
    <w:rsid w:val="000043E2"/>
    <w:rsid w:val="00004C2B"/>
    <w:rsid w:val="00004CE5"/>
    <w:rsid w:val="00004E98"/>
    <w:rsid w:val="0000731D"/>
    <w:rsid w:val="00007AE1"/>
    <w:rsid w:val="00010A6D"/>
    <w:rsid w:val="0001128B"/>
    <w:rsid w:val="000142F8"/>
    <w:rsid w:val="000144F5"/>
    <w:rsid w:val="00015815"/>
    <w:rsid w:val="0001756E"/>
    <w:rsid w:val="000203E2"/>
    <w:rsid w:val="00022807"/>
    <w:rsid w:val="00023256"/>
    <w:rsid w:val="00024621"/>
    <w:rsid w:val="00024E34"/>
    <w:rsid w:val="00025489"/>
    <w:rsid w:val="00026155"/>
    <w:rsid w:val="000261A5"/>
    <w:rsid w:val="000265A6"/>
    <w:rsid w:val="000274CC"/>
    <w:rsid w:val="0003656F"/>
    <w:rsid w:val="000375E5"/>
    <w:rsid w:val="00037A24"/>
    <w:rsid w:val="00037A39"/>
    <w:rsid w:val="0004105E"/>
    <w:rsid w:val="000422D0"/>
    <w:rsid w:val="00042507"/>
    <w:rsid w:val="00042CD5"/>
    <w:rsid w:val="00042FE1"/>
    <w:rsid w:val="000437C5"/>
    <w:rsid w:val="0004452C"/>
    <w:rsid w:val="00045CC5"/>
    <w:rsid w:val="0004697A"/>
    <w:rsid w:val="000474AE"/>
    <w:rsid w:val="00047720"/>
    <w:rsid w:val="000511F4"/>
    <w:rsid w:val="00054705"/>
    <w:rsid w:val="0005602D"/>
    <w:rsid w:val="00056547"/>
    <w:rsid w:val="00056740"/>
    <w:rsid w:val="00056870"/>
    <w:rsid w:val="00057D0A"/>
    <w:rsid w:val="0006039D"/>
    <w:rsid w:val="0006081F"/>
    <w:rsid w:val="00062DB2"/>
    <w:rsid w:val="000645C9"/>
    <w:rsid w:val="000649DA"/>
    <w:rsid w:val="00064C0F"/>
    <w:rsid w:val="00066EEE"/>
    <w:rsid w:val="00070208"/>
    <w:rsid w:val="00071857"/>
    <w:rsid w:val="00071C96"/>
    <w:rsid w:val="00072143"/>
    <w:rsid w:val="000721EC"/>
    <w:rsid w:val="00072210"/>
    <w:rsid w:val="000751DE"/>
    <w:rsid w:val="000766A9"/>
    <w:rsid w:val="00076CA7"/>
    <w:rsid w:val="000772A5"/>
    <w:rsid w:val="000806DD"/>
    <w:rsid w:val="00081E99"/>
    <w:rsid w:val="0008250D"/>
    <w:rsid w:val="00082648"/>
    <w:rsid w:val="000827C5"/>
    <w:rsid w:val="00082A06"/>
    <w:rsid w:val="00082AA0"/>
    <w:rsid w:val="000839A8"/>
    <w:rsid w:val="00084A59"/>
    <w:rsid w:val="00085FC6"/>
    <w:rsid w:val="00086266"/>
    <w:rsid w:val="000866D9"/>
    <w:rsid w:val="00090557"/>
    <w:rsid w:val="00090DC2"/>
    <w:rsid w:val="00091284"/>
    <w:rsid w:val="0009255F"/>
    <w:rsid w:val="00095575"/>
    <w:rsid w:val="000956D9"/>
    <w:rsid w:val="00097892"/>
    <w:rsid w:val="000979E2"/>
    <w:rsid w:val="000A015B"/>
    <w:rsid w:val="000A0429"/>
    <w:rsid w:val="000A0B7F"/>
    <w:rsid w:val="000A2BDA"/>
    <w:rsid w:val="000A5983"/>
    <w:rsid w:val="000A65CC"/>
    <w:rsid w:val="000A7024"/>
    <w:rsid w:val="000A7301"/>
    <w:rsid w:val="000A7AE4"/>
    <w:rsid w:val="000B199E"/>
    <w:rsid w:val="000B1B76"/>
    <w:rsid w:val="000B1C57"/>
    <w:rsid w:val="000B28DF"/>
    <w:rsid w:val="000B2D79"/>
    <w:rsid w:val="000B44C4"/>
    <w:rsid w:val="000B54BB"/>
    <w:rsid w:val="000B5EAA"/>
    <w:rsid w:val="000B6DF9"/>
    <w:rsid w:val="000B7C6D"/>
    <w:rsid w:val="000C01A1"/>
    <w:rsid w:val="000C2764"/>
    <w:rsid w:val="000C2EE6"/>
    <w:rsid w:val="000D1C31"/>
    <w:rsid w:val="000D2B07"/>
    <w:rsid w:val="000D4969"/>
    <w:rsid w:val="000D4C48"/>
    <w:rsid w:val="000D57BA"/>
    <w:rsid w:val="000D5B72"/>
    <w:rsid w:val="000E26CA"/>
    <w:rsid w:val="000E2F42"/>
    <w:rsid w:val="000E2F5C"/>
    <w:rsid w:val="000E48AD"/>
    <w:rsid w:val="000E7677"/>
    <w:rsid w:val="000F01AA"/>
    <w:rsid w:val="000F037B"/>
    <w:rsid w:val="000F03FF"/>
    <w:rsid w:val="000F3C61"/>
    <w:rsid w:val="000F46E7"/>
    <w:rsid w:val="000F6626"/>
    <w:rsid w:val="000F67B6"/>
    <w:rsid w:val="000F67C0"/>
    <w:rsid w:val="000F7777"/>
    <w:rsid w:val="000F7D11"/>
    <w:rsid w:val="00101240"/>
    <w:rsid w:val="00102DBB"/>
    <w:rsid w:val="00103E41"/>
    <w:rsid w:val="001040D6"/>
    <w:rsid w:val="00106486"/>
    <w:rsid w:val="001064AA"/>
    <w:rsid w:val="0011125B"/>
    <w:rsid w:val="00111DC9"/>
    <w:rsid w:val="001170D9"/>
    <w:rsid w:val="00117E99"/>
    <w:rsid w:val="00122232"/>
    <w:rsid w:val="00122E25"/>
    <w:rsid w:val="0012356B"/>
    <w:rsid w:val="00124F58"/>
    <w:rsid w:val="001261B4"/>
    <w:rsid w:val="0012633C"/>
    <w:rsid w:val="00127783"/>
    <w:rsid w:val="00130270"/>
    <w:rsid w:val="001304B3"/>
    <w:rsid w:val="001304D3"/>
    <w:rsid w:val="00130CCA"/>
    <w:rsid w:val="00131A38"/>
    <w:rsid w:val="00133255"/>
    <w:rsid w:val="0013585E"/>
    <w:rsid w:val="00140412"/>
    <w:rsid w:val="00140618"/>
    <w:rsid w:val="00142717"/>
    <w:rsid w:val="00143D6B"/>
    <w:rsid w:val="001465AA"/>
    <w:rsid w:val="00147B6A"/>
    <w:rsid w:val="00147BAA"/>
    <w:rsid w:val="00147C6E"/>
    <w:rsid w:val="00151A6A"/>
    <w:rsid w:val="00152138"/>
    <w:rsid w:val="00152FC8"/>
    <w:rsid w:val="00154D14"/>
    <w:rsid w:val="00155A67"/>
    <w:rsid w:val="00164198"/>
    <w:rsid w:val="00171F06"/>
    <w:rsid w:val="001726DE"/>
    <w:rsid w:val="001743AC"/>
    <w:rsid w:val="0017497F"/>
    <w:rsid w:val="00174E16"/>
    <w:rsid w:val="001762EA"/>
    <w:rsid w:val="00180F9D"/>
    <w:rsid w:val="001813CF"/>
    <w:rsid w:val="001829A5"/>
    <w:rsid w:val="00183448"/>
    <w:rsid w:val="00183AEE"/>
    <w:rsid w:val="00185234"/>
    <w:rsid w:val="00185CEF"/>
    <w:rsid w:val="00186FAD"/>
    <w:rsid w:val="001875A1"/>
    <w:rsid w:val="00187D19"/>
    <w:rsid w:val="00190B0E"/>
    <w:rsid w:val="001913F1"/>
    <w:rsid w:val="0019284F"/>
    <w:rsid w:val="0019385B"/>
    <w:rsid w:val="00194743"/>
    <w:rsid w:val="00194CBC"/>
    <w:rsid w:val="00195042"/>
    <w:rsid w:val="001955D3"/>
    <w:rsid w:val="0019618E"/>
    <w:rsid w:val="0019648F"/>
    <w:rsid w:val="00197A59"/>
    <w:rsid w:val="00197CFF"/>
    <w:rsid w:val="001A049B"/>
    <w:rsid w:val="001A1945"/>
    <w:rsid w:val="001A1B3E"/>
    <w:rsid w:val="001A4EDF"/>
    <w:rsid w:val="001A64D1"/>
    <w:rsid w:val="001B137C"/>
    <w:rsid w:val="001B238F"/>
    <w:rsid w:val="001B428C"/>
    <w:rsid w:val="001B5CE2"/>
    <w:rsid w:val="001B6182"/>
    <w:rsid w:val="001B6CA0"/>
    <w:rsid w:val="001B7880"/>
    <w:rsid w:val="001C1EBF"/>
    <w:rsid w:val="001C1FAE"/>
    <w:rsid w:val="001C4F1D"/>
    <w:rsid w:val="001C5541"/>
    <w:rsid w:val="001C74ED"/>
    <w:rsid w:val="001D02CA"/>
    <w:rsid w:val="001D0AE5"/>
    <w:rsid w:val="001D36AC"/>
    <w:rsid w:val="001D4861"/>
    <w:rsid w:val="001D6A4C"/>
    <w:rsid w:val="001D7561"/>
    <w:rsid w:val="001D7A09"/>
    <w:rsid w:val="001E00D7"/>
    <w:rsid w:val="001E0875"/>
    <w:rsid w:val="001E1332"/>
    <w:rsid w:val="001E1A59"/>
    <w:rsid w:val="001E1EB7"/>
    <w:rsid w:val="001E3E10"/>
    <w:rsid w:val="001E4761"/>
    <w:rsid w:val="001E4787"/>
    <w:rsid w:val="001E486C"/>
    <w:rsid w:val="001E5344"/>
    <w:rsid w:val="001E54DC"/>
    <w:rsid w:val="001E5756"/>
    <w:rsid w:val="001E64BC"/>
    <w:rsid w:val="001E7E4D"/>
    <w:rsid w:val="001F2C92"/>
    <w:rsid w:val="001F3778"/>
    <w:rsid w:val="001F386F"/>
    <w:rsid w:val="001F3C76"/>
    <w:rsid w:val="001F46B4"/>
    <w:rsid w:val="001F525A"/>
    <w:rsid w:val="001F554D"/>
    <w:rsid w:val="001F63E8"/>
    <w:rsid w:val="001F69E8"/>
    <w:rsid w:val="001F6A8B"/>
    <w:rsid w:val="001F6CBB"/>
    <w:rsid w:val="001F6EAA"/>
    <w:rsid w:val="00200513"/>
    <w:rsid w:val="00200FC2"/>
    <w:rsid w:val="00201A9C"/>
    <w:rsid w:val="00202A14"/>
    <w:rsid w:val="002042AB"/>
    <w:rsid w:val="00204EC8"/>
    <w:rsid w:val="002052FF"/>
    <w:rsid w:val="00205C10"/>
    <w:rsid w:val="0020600A"/>
    <w:rsid w:val="00207556"/>
    <w:rsid w:val="00207641"/>
    <w:rsid w:val="00211BE8"/>
    <w:rsid w:val="0021202B"/>
    <w:rsid w:val="00213F8F"/>
    <w:rsid w:val="00215D62"/>
    <w:rsid w:val="00217613"/>
    <w:rsid w:val="002211FF"/>
    <w:rsid w:val="0022375D"/>
    <w:rsid w:val="00223BF2"/>
    <w:rsid w:val="00225559"/>
    <w:rsid w:val="002269E0"/>
    <w:rsid w:val="002301C0"/>
    <w:rsid w:val="00231084"/>
    <w:rsid w:val="00231219"/>
    <w:rsid w:val="00231C21"/>
    <w:rsid w:val="00233AD8"/>
    <w:rsid w:val="00234180"/>
    <w:rsid w:val="002411D2"/>
    <w:rsid w:val="002415B4"/>
    <w:rsid w:val="00241CC6"/>
    <w:rsid w:val="00241CE0"/>
    <w:rsid w:val="00241E41"/>
    <w:rsid w:val="00242107"/>
    <w:rsid w:val="002436A6"/>
    <w:rsid w:val="002438B7"/>
    <w:rsid w:val="0024420B"/>
    <w:rsid w:val="00244A46"/>
    <w:rsid w:val="00244F33"/>
    <w:rsid w:val="0024773F"/>
    <w:rsid w:val="002508DA"/>
    <w:rsid w:val="00251443"/>
    <w:rsid w:val="002525C8"/>
    <w:rsid w:val="00255DA6"/>
    <w:rsid w:val="002563B0"/>
    <w:rsid w:val="00257C0E"/>
    <w:rsid w:val="00260C86"/>
    <w:rsid w:val="00261882"/>
    <w:rsid w:val="00263CD7"/>
    <w:rsid w:val="002648C3"/>
    <w:rsid w:val="00264EBE"/>
    <w:rsid w:val="0026549B"/>
    <w:rsid w:val="002740C3"/>
    <w:rsid w:val="00274408"/>
    <w:rsid w:val="00274497"/>
    <w:rsid w:val="00275960"/>
    <w:rsid w:val="00277123"/>
    <w:rsid w:val="0027765D"/>
    <w:rsid w:val="002817D0"/>
    <w:rsid w:val="00282CEF"/>
    <w:rsid w:val="00283BAA"/>
    <w:rsid w:val="002851AC"/>
    <w:rsid w:val="00287C46"/>
    <w:rsid w:val="00287F5A"/>
    <w:rsid w:val="00292BD0"/>
    <w:rsid w:val="002935CD"/>
    <w:rsid w:val="00294353"/>
    <w:rsid w:val="00295DD1"/>
    <w:rsid w:val="002966AA"/>
    <w:rsid w:val="00297095"/>
    <w:rsid w:val="002A0DB9"/>
    <w:rsid w:val="002A0FC8"/>
    <w:rsid w:val="002A1EF1"/>
    <w:rsid w:val="002A2819"/>
    <w:rsid w:val="002A412C"/>
    <w:rsid w:val="002A4213"/>
    <w:rsid w:val="002A47BE"/>
    <w:rsid w:val="002A535A"/>
    <w:rsid w:val="002A591A"/>
    <w:rsid w:val="002A6425"/>
    <w:rsid w:val="002A6552"/>
    <w:rsid w:val="002A7930"/>
    <w:rsid w:val="002A7CC0"/>
    <w:rsid w:val="002B2206"/>
    <w:rsid w:val="002B226B"/>
    <w:rsid w:val="002B45CB"/>
    <w:rsid w:val="002B48AF"/>
    <w:rsid w:val="002B4C5B"/>
    <w:rsid w:val="002B5334"/>
    <w:rsid w:val="002B60F7"/>
    <w:rsid w:val="002B6589"/>
    <w:rsid w:val="002B67F4"/>
    <w:rsid w:val="002C002F"/>
    <w:rsid w:val="002C22E0"/>
    <w:rsid w:val="002C55C3"/>
    <w:rsid w:val="002C657D"/>
    <w:rsid w:val="002C78E5"/>
    <w:rsid w:val="002D0BDE"/>
    <w:rsid w:val="002D1D33"/>
    <w:rsid w:val="002D2A92"/>
    <w:rsid w:val="002D395A"/>
    <w:rsid w:val="002D5EBD"/>
    <w:rsid w:val="002D61AE"/>
    <w:rsid w:val="002D61C9"/>
    <w:rsid w:val="002D6204"/>
    <w:rsid w:val="002D642F"/>
    <w:rsid w:val="002D6E73"/>
    <w:rsid w:val="002D7376"/>
    <w:rsid w:val="002E0975"/>
    <w:rsid w:val="002E1490"/>
    <w:rsid w:val="002E1755"/>
    <w:rsid w:val="002E317E"/>
    <w:rsid w:val="002E4153"/>
    <w:rsid w:val="002E55B1"/>
    <w:rsid w:val="002E5CB2"/>
    <w:rsid w:val="002E61AC"/>
    <w:rsid w:val="002E7276"/>
    <w:rsid w:val="002F3B7F"/>
    <w:rsid w:val="002F3CD1"/>
    <w:rsid w:val="002F47B6"/>
    <w:rsid w:val="002F4DF6"/>
    <w:rsid w:val="002F603A"/>
    <w:rsid w:val="002F6A88"/>
    <w:rsid w:val="002F7A85"/>
    <w:rsid w:val="00301F3E"/>
    <w:rsid w:val="003042D6"/>
    <w:rsid w:val="00304E0B"/>
    <w:rsid w:val="003052DB"/>
    <w:rsid w:val="00305B08"/>
    <w:rsid w:val="00305D69"/>
    <w:rsid w:val="00312E84"/>
    <w:rsid w:val="003131A3"/>
    <w:rsid w:val="0031331B"/>
    <w:rsid w:val="00313EF1"/>
    <w:rsid w:val="00314038"/>
    <w:rsid w:val="003153D0"/>
    <w:rsid w:val="0031549B"/>
    <w:rsid w:val="00316785"/>
    <w:rsid w:val="003170EB"/>
    <w:rsid w:val="00320536"/>
    <w:rsid w:val="00321D5D"/>
    <w:rsid w:val="00321FF0"/>
    <w:rsid w:val="003220B8"/>
    <w:rsid w:val="003221B7"/>
    <w:rsid w:val="003223A4"/>
    <w:rsid w:val="00322518"/>
    <w:rsid w:val="003235B9"/>
    <w:rsid w:val="003238AD"/>
    <w:rsid w:val="00326F9E"/>
    <w:rsid w:val="00331A8F"/>
    <w:rsid w:val="0033207C"/>
    <w:rsid w:val="00332AED"/>
    <w:rsid w:val="003340B0"/>
    <w:rsid w:val="00334477"/>
    <w:rsid w:val="00335623"/>
    <w:rsid w:val="00335EA5"/>
    <w:rsid w:val="00336631"/>
    <w:rsid w:val="0034029E"/>
    <w:rsid w:val="00341BB3"/>
    <w:rsid w:val="00341C55"/>
    <w:rsid w:val="00344E0A"/>
    <w:rsid w:val="0034551D"/>
    <w:rsid w:val="0034567D"/>
    <w:rsid w:val="00346E02"/>
    <w:rsid w:val="00347655"/>
    <w:rsid w:val="00347AF6"/>
    <w:rsid w:val="00351B93"/>
    <w:rsid w:val="003523C3"/>
    <w:rsid w:val="003527FB"/>
    <w:rsid w:val="003558C7"/>
    <w:rsid w:val="00355DF1"/>
    <w:rsid w:val="00355E53"/>
    <w:rsid w:val="00361E41"/>
    <w:rsid w:val="00361F82"/>
    <w:rsid w:val="0036419A"/>
    <w:rsid w:val="003645FE"/>
    <w:rsid w:val="0036541B"/>
    <w:rsid w:val="003666FF"/>
    <w:rsid w:val="00366F48"/>
    <w:rsid w:val="00367450"/>
    <w:rsid w:val="00367ABA"/>
    <w:rsid w:val="00370DB1"/>
    <w:rsid w:val="00371137"/>
    <w:rsid w:val="00375A97"/>
    <w:rsid w:val="00375E06"/>
    <w:rsid w:val="00376F2D"/>
    <w:rsid w:val="00377B69"/>
    <w:rsid w:val="003812F2"/>
    <w:rsid w:val="003815D9"/>
    <w:rsid w:val="00381FD7"/>
    <w:rsid w:val="003835DF"/>
    <w:rsid w:val="00384672"/>
    <w:rsid w:val="003851DC"/>
    <w:rsid w:val="003869F3"/>
    <w:rsid w:val="00387630"/>
    <w:rsid w:val="003879E9"/>
    <w:rsid w:val="00387FAD"/>
    <w:rsid w:val="0039076F"/>
    <w:rsid w:val="0039175C"/>
    <w:rsid w:val="00391A1F"/>
    <w:rsid w:val="00392688"/>
    <w:rsid w:val="00392D72"/>
    <w:rsid w:val="003954CC"/>
    <w:rsid w:val="00396C53"/>
    <w:rsid w:val="0039769A"/>
    <w:rsid w:val="00397AD6"/>
    <w:rsid w:val="003A0CCA"/>
    <w:rsid w:val="003A1E9B"/>
    <w:rsid w:val="003A22D1"/>
    <w:rsid w:val="003A22ED"/>
    <w:rsid w:val="003A2707"/>
    <w:rsid w:val="003A29D0"/>
    <w:rsid w:val="003A46F8"/>
    <w:rsid w:val="003A4A90"/>
    <w:rsid w:val="003A5F7C"/>
    <w:rsid w:val="003A665E"/>
    <w:rsid w:val="003A6956"/>
    <w:rsid w:val="003B0873"/>
    <w:rsid w:val="003B25B9"/>
    <w:rsid w:val="003B2922"/>
    <w:rsid w:val="003B41FB"/>
    <w:rsid w:val="003B56A2"/>
    <w:rsid w:val="003B6B1C"/>
    <w:rsid w:val="003B7E42"/>
    <w:rsid w:val="003C0D0C"/>
    <w:rsid w:val="003C2A80"/>
    <w:rsid w:val="003C3262"/>
    <w:rsid w:val="003C3A75"/>
    <w:rsid w:val="003C3B25"/>
    <w:rsid w:val="003C46AE"/>
    <w:rsid w:val="003C4C4C"/>
    <w:rsid w:val="003C52C2"/>
    <w:rsid w:val="003C624C"/>
    <w:rsid w:val="003C771B"/>
    <w:rsid w:val="003D082B"/>
    <w:rsid w:val="003D1253"/>
    <w:rsid w:val="003D19EB"/>
    <w:rsid w:val="003D63A8"/>
    <w:rsid w:val="003D64CB"/>
    <w:rsid w:val="003D75B5"/>
    <w:rsid w:val="003E32FF"/>
    <w:rsid w:val="003E3739"/>
    <w:rsid w:val="003E3A9F"/>
    <w:rsid w:val="003E43B4"/>
    <w:rsid w:val="003E54F3"/>
    <w:rsid w:val="003F0691"/>
    <w:rsid w:val="003F09FF"/>
    <w:rsid w:val="003F0DDA"/>
    <w:rsid w:val="003F18B5"/>
    <w:rsid w:val="003F48F3"/>
    <w:rsid w:val="003F556A"/>
    <w:rsid w:val="003F7698"/>
    <w:rsid w:val="00400086"/>
    <w:rsid w:val="004006DB"/>
    <w:rsid w:val="0040174E"/>
    <w:rsid w:val="00401F23"/>
    <w:rsid w:val="0040364A"/>
    <w:rsid w:val="004051D6"/>
    <w:rsid w:val="004067CE"/>
    <w:rsid w:val="0040699D"/>
    <w:rsid w:val="00407214"/>
    <w:rsid w:val="00407429"/>
    <w:rsid w:val="004100FF"/>
    <w:rsid w:val="0041036C"/>
    <w:rsid w:val="00412051"/>
    <w:rsid w:val="00413909"/>
    <w:rsid w:val="0041505F"/>
    <w:rsid w:val="00415C8D"/>
    <w:rsid w:val="004172B1"/>
    <w:rsid w:val="004173D9"/>
    <w:rsid w:val="00417BB4"/>
    <w:rsid w:val="00417F99"/>
    <w:rsid w:val="00421D8E"/>
    <w:rsid w:val="004234FA"/>
    <w:rsid w:val="004237CA"/>
    <w:rsid w:val="004248AA"/>
    <w:rsid w:val="004259EB"/>
    <w:rsid w:val="00425BA9"/>
    <w:rsid w:val="00426584"/>
    <w:rsid w:val="004266BB"/>
    <w:rsid w:val="00426ADF"/>
    <w:rsid w:val="0042796D"/>
    <w:rsid w:val="004314A9"/>
    <w:rsid w:val="00431933"/>
    <w:rsid w:val="00431D45"/>
    <w:rsid w:val="00432053"/>
    <w:rsid w:val="004321BD"/>
    <w:rsid w:val="00433CBE"/>
    <w:rsid w:val="004347FB"/>
    <w:rsid w:val="00435AB2"/>
    <w:rsid w:val="00437E2E"/>
    <w:rsid w:val="00441A71"/>
    <w:rsid w:val="00441C3A"/>
    <w:rsid w:val="004424A5"/>
    <w:rsid w:val="00442706"/>
    <w:rsid w:val="00443124"/>
    <w:rsid w:val="004446AD"/>
    <w:rsid w:val="00444C86"/>
    <w:rsid w:val="00444D5A"/>
    <w:rsid w:val="00445A2E"/>
    <w:rsid w:val="004468A5"/>
    <w:rsid w:val="004502E0"/>
    <w:rsid w:val="004505C1"/>
    <w:rsid w:val="00450B13"/>
    <w:rsid w:val="00450B5D"/>
    <w:rsid w:val="00450B9C"/>
    <w:rsid w:val="00451249"/>
    <w:rsid w:val="0045224D"/>
    <w:rsid w:val="00452DD1"/>
    <w:rsid w:val="004544D6"/>
    <w:rsid w:val="0045582A"/>
    <w:rsid w:val="00455A6E"/>
    <w:rsid w:val="00455ECF"/>
    <w:rsid w:val="004564F4"/>
    <w:rsid w:val="0045681D"/>
    <w:rsid w:val="00457042"/>
    <w:rsid w:val="00460045"/>
    <w:rsid w:val="00461F5F"/>
    <w:rsid w:val="00465284"/>
    <w:rsid w:val="00466E55"/>
    <w:rsid w:val="00470041"/>
    <w:rsid w:val="00471085"/>
    <w:rsid w:val="00471CDC"/>
    <w:rsid w:val="00472D47"/>
    <w:rsid w:val="004735D6"/>
    <w:rsid w:val="004736EF"/>
    <w:rsid w:val="00474A86"/>
    <w:rsid w:val="00475F1C"/>
    <w:rsid w:val="00475F2C"/>
    <w:rsid w:val="00476877"/>
    <w:rsid w:val="004768E7"/>
    <w:rsid w:val="00476FC4"/>
    <w:rsid w:val="004770A8"/>
    <w:rsid w:val="00480696"/>
    <w:rsid w:val="00480731"/>
    <w:rsid w:val="00483EE2"/>
    <w:rsid w:val="00484420"/>
    <w:rsid w:val="004845B5"/>
    <w:rsid w:val="004850AE"/>
    <w:rsid w:val="00485952"/>
    <w:rsid w:val="00486015"/>
    <w:rsid w:val="004873D1"/>
    <w:rsid w:val="00487B73"/>
    <w:rsid w:val="00487C05"/>
    <w:rsid w:val="00487D7C"/>
    <w:rsid w:val="00490330"/>
    <w:rsid w:val="0049063A"/>
    <w:rsid w:val="004909BB"/>
    <w:rsid w:val="00491BE2"/>
    <w:rsid w:val="00492CD0"/>
    <w:rsid w:val="00492DD5"/>
    <w:rsid w:val="00493E0A"/>
    <w:rsid w:val="00494A2D"/>
    <w:rsid w:val="00496590"/>
    <w:rsid w:val="004970AE"/>
    <w:rsid w:val="0049778C"/>
    <w:rsid w:val="004A0804"/>
    <w:rsid w:val="004A131D"/>
    <w:rsid w:val="004A1468"/>
    <w:rsid w:val="004A20DA"/>
    <w:rsid w:val="004A26CE"/>
    <w:rsid w:val="004A43F1"/>
    <w:rsid w:val="004A44EA"/>
    <w:rsid w:val="004A661C"/>
    <w:rsid w:val="004A7D44"/>
    <w:rsid w:val="004B048B"/>
    <w:rsid w:val="004B133F"/>
    <w:rsid w:val="004B37FF"/>
    <w:rsid w:val="004B5B8D"/>
    <w:rsid w:val="004B69CD"/>
    <w:rsid w:val="004C0356"/>
    <w:rsid w:val="004C037B"/>
    <w:rsid w:val="004C1078"/>
    <w:rsid w:val="004C2B7C"/>
    <w:rsid w:val="004C32B3"/>
    <w:rsid w:val="004C350D"/>
    <w:rsid w:val="004C4C4A"/>
    <w:rsid w:val="004C5AEA"/>
    <w:rsid w:val="004D00DD"/>
    <w:rsid w:val="004D034D"/>
    <w:rsid w:val="004D1858"/>
    <w:rsid w:val="004D1E4E"/>
    <w:rsid w:val="004D4562"/>
    <w:rsid w:val="004D6521"/>
    <w:rsid w:val="004E1CD3"/>
    <w:rsid w:val="004E1ECE"/>
    <w:rsid w:val="004E41DE"/>
    <w:rsid w:val="004E6425"/>
    <w:rsid w:val="004E7F1A"/>
    <w:rsid w:val="004F2CB0"/>
    <w:rsid w:val="004F3B1D"/>
    <w:rsid w:val="004F54F5"/>
    <w:rsid w:val="004F579C"/>
    <w:rsid w:val="004F61E3"/>
    <w:rsid w:val="00503107"/>
    <w:rsid w:val="0050520D"/>
    <w:rsid w:val="00506A4F"/>
    <w:rsid w:val="00510F61"/>
    <w:rsid w:val="005202E4"/>
    <w:rsid w:val="005206AE"/>
    <w:rsid w:val="005207A3"/>
    <w:rsid w:val="00520B70"/>
    <w:rsid w:val="0052161D"/>
    <w:rsid w:val="005237E4"/>
    <w:rsid w:val="00523C7C"/>
    <w:rsid w:val="00523DAB"/>
    <w:rsid w:val="00525D44"/>
    <w:rsid w:val="0052636C"/>
    <w:rsid w:val="005318B5"/>
    <w:rsid w:val="00532A9A"/>
    <w:rsid w:val="00535159"/>
    <w:rsid w:val="0053666A"/>
    <w:rsid w:val="00536F0E"/>
    <w:rsid w:val="00537CF6"/>
    <w:rsid w:val="00537FE4"/>
    <w:rsid w:val="00540095"/>
    <w:rsid w:val="0054024B"/>
    <w:rsid w:val="005402F3"/>
    <w:rsid w:val="00541809"/>
    <w:rsid w:val="00543300"/>
    <w:rsid w:val="00544823"/>
    <w:rsid w:val="00545342"/>
    <w:rsid w:val="00545582"/>
    <w:rsid w:val="0054694A"/>
    <w:rsid w:val="00550B97"/>
    <w:rsid w:val="00552AD0"/>
    <w:rsid w:val="00554EF6"/>
    <w:rsid w:val="00555733"/>
    <w:rsid w:val="00560254"/>
    <w:rsid w:val="005620A0"/>
    <w:rsid w:val="00562E22"/>
    <w:rsid w:val="00563F4B"/>
    <w:rsid w:val="0056634E"/>
    <w:rsid w:val="005669D2"/>
    <w:rsid w:val="005713BF"/>
    <w:rsid w:val="00572566"/>
    <w:rsid w:val="0057264C"/>
    <w:rsid w:val="00572F65"/>
    <w:rsid w:val="00573007"/>
    <w:rsid w:val="00574314"/>
    <w:rsid w:val="0057531B"/>
    <w:rsid w:val="00577A39"/>
    <w:rsid w:val="00577D02"/>
    <w:rsid w:val="00580A3E"/>
    <w:rsid w:val="005812D6"/>
    <w:rsid w:val="005814F5"/>
    <w:rsid w:val="0058177C"/>
    <w:rsid w:val="005853A1"/>
    <w:rsid w:val="0058778E"/>
    <w:rsid w:val="00594119"/>
    <w:rsid w:val="00594E20"/>
    <w:rsid w:val="0059753C"/>
    <w:rsid w:val="005A014A"/>
    <w:rsid w:val="005A7987"/>
    <w:rsid w:val="005B084E"/>
    <w:rsid w:val="005B1723"/>
    <w:rsid w:val="005B19E5"/>
    <w:rsid w:val="005B1C02"/>
    <w:rsid w:val="005B2E08"/>
    <w:rsid w:val="005B405D"/>
    <w:rsid w:val="005B5FA2"/>
    <w:rsid w:val="005B681A"/>
    <w:rsid w:val="005B7AAE"/>
    <w:rsid w:val="005C1587"/>
    <w:rsid w:val="005C1934"/>
    <w:rsid w:val="005C2BAF"/>
    <w:rsid w:val="005C3187"/>
    <w:rsid w:val="005C41F0"/>
    <w:rsid w:val="005C4CEE"/>
    <w:rsid w:val="005C5A81"/>
    <w:rsid w:val="005D13BF"/>
    <w:rsid w:val="005D174E"/>
    <w:rsid w:val="005D30BA"/>
    <w:rsid w:val="005D3B5C"/>
    <w:rsid w:val="005D3EB7"/>
    <w:rsid w:val="005D4929"/>
    <w:rsid w:val="005D4E86"/>
    <w:rsid w:val="005D587F"/>
    <w:rsid w:val="005D77A8"/>
    <w:rsid w:val="005E0747"/>
    <w:rsid w:val="005E078B"/>
    <w:rsid w:val="005E1150"/>
    <w:rsid w:val="005E212F"/>
    <w:rsid w:val="005E34BB"/>
    <w:rsid w:val="005E3834"/>
    <w:rsid w:val="005E50EE"/>
    <w:rsid w:val="005E652B"/>
    <w:rsid w:val="005E6746"/>
    <w:rsid w:val="005F12FA"/>
    <w:rsid w:val="005F1419"/>
    <w:rsid w:val="005F2B52"/>
    <w:rsid w:val="005F4391"/>
    <w:rsid w:val="005F49BD"/>
    <w:rsid w:val="005F4BD0"/>
    <w:rsid w:val="005F5B35"/>
    <w:rsid w:val="005F73AA"/>
    <w:rsid w:val="00600011"/>
    <w:rsid w:val="006009A5"/>
    <w:rsid w:val="00601B10"/>
    <w:rsid w:val="00602FDD"/>
    <w:rsid w:val="00604096"/>
    <w:rsid w:val="00604FF2"/>
    <w:rsid w:val="00605186"/>
    <w:rsid w:val="00605914"/>
    <w:rsid w:val="006111CE"/>
    <w:rsid w:val="00611841"/>
    <w:rsid w:val="0061283E"/>
    <w:rsid w:val="0061396C"/>
    <w:rsid w:val="00613E93"/>
    <w:rsid w:val="00614E0C"/>
    <w:rsid w:val="0061504F"/>
    <w:rsid w:val="00616BFA"/>
    <w:rsid w:val="00620E5D"/>
    <w:rsid w:val="006213E5"/>
    <w:rsid w:val="006219F0"/>
    <w:rsid w:val="00622742"/>
    <w:rsid w:val="00623735"/>
    <w:rsid w:val="00624472"/>
    <w:rsid w:val="00624A17"/>
    <w:rsid w:val="00625A50"/>
    <w:rsid w:val="006318BE"/>
    <w:rsid w:val="006327C8"/>
    <w:rsid w:val="0063365E"/>
    <w:rsid w:val="006343DA"/>
    <w:rsid w:val="0063472B"/>
    <w:rsid w:val="00634C9F"/>
    <w:rsid w:val="00635979"/>
    <w:rsid w:val="00635C83"/>
    <w:rsid w:val="00636345"/>
    <w:rsid w:val="00637B55"/>
    <w:rsid w:val="00641625"/>
    <w:rsid w:val="0064237B"/>
    <w:rsid w:val="00643070"/>
    <w:rsid w:val="006432EC"/>
    <w:rsid w:val="006443C7"/>
    <w:rsid w:val="00644B21"/>
    <w:rsid w:val="0064656C"/>
    <w:rsid w:val="00646735"/>
    <w:rsid w:val="00646880"/>
    <w:rsid w:val="00646A73"/>
    <w:rsid w:val="00646E9B"/>
    <w:rsid w:val="00647C12"/>
    <w:rsid w:val="00650AA1"/>
    <w:rsid w:val="00653FB7"/>
    <w:rsid w:val="0065666C"/>
    <w:rsid w:val="00657CF5"/>
    <w:rsid w:val="00663024"/>
    <w:rsid w:val="00665C1F"/>
    <w:rsid w:val="006676B3"/>
    <w:rsid w:val="00667AC4"/>
    <w:rsid w:val="00670268"/>
    <w:rsid w:val="00671EDB"/>
    <w:rsid w:val="00673304"/>
    <w:rsid w:val="00674F7F"/>
    <w:rsid w:val="00675B7B"/>
    <w:rsid w:val="00676180"/>
    <w:rsid w:val="006769CD"/>
    <w:rsid w:val="00682913"/>
    <w:rsid w:val="00682C72"/>
    <w:rsid w:val="00685C5A"/>
    <w:rsid w:val="00686048"/>
    <w:rsid w:val="00686ADF"/>
    <w:rsid w:val="00687D4A"/>
    <w:rsid w:val="00690619"/>
    <w:rsid w:val="00693408"/>
    <w:rsid w:val="00694510"/>
    <w:rsid w:val="006973D0"/>
    <w:rsid w:val="006A0F72"/>
    <w:rsid w:val="006A188F"/>
    <w:rsid w:val="006A28EA"/>
    <w:rsid w:val="006A28F1"/>
    <w:rsid w:val="006A2F63"/>
    <w:rsid w:val="006A322B"/>
    <w:rsid w:val="006A360A"/>
    <w:rsid w:val="006A3718"/>
    <w:rsid w:val="006A6439"/>
    <w:rsid w:val="006B293B"/>
    <w:rsid w:val="006B2F41"/>
    <w:rsid w:val="006B5D29"/>
    <w:rsid w:val="006B6026"/>
    <w:rsid w:val="006B6588"/>
    <w:rsid w:val="006B6C32"/>
    <w:rsid w:val="006C078C"/>
    <w:rsid w:val="006C1BC9"/>
    <w:rsid w:val="006C37B7"/>
    <w:rsid w:val="006C50AC"/>
    <w:rsid w:val="006C512A"/>
    <w:rsid w:val="006C51CB"/>
    <w:rsid w:val="006C5552"/>
    <w:rsid w:val="006C56DF"/>
    <w:rsid w:val="006C6263"/>
    <w:rsid w:val="006C7F7B"/>
    <w:rsid w:val="006D03ED"/>
    <w:rsid w:val="006D07A8"/>
    <w:rsid w:val="006D1601"/>
    <w:rsid w:val="006D1B1E"/>
    <w:rsid w:val="006D1F35"/>
    <w:rsid w:val="006D5485"/>
    <w:rsid w:val="006D5FC5"/>
    <w:rsid w:val="006D7CA4"/>
    <w:rsid w:val="006D7CAA"/>
    <w:rsid w:val="006E2A8E"/>
    <w:rsid w:val="006E3ECD"/>
    <w:rsid w:val="006E4222"/>
    <w:rsid w:val="006E51B7"/>
    <w:rsid w:val="006E6386"/>
    <w:rsid w:val="006E77C0"/>
    <w:rsid w:val="006F074C"/>
    <w:rsid w:val="006F16E7"/>
    <w:rsid w:val="006F3353"/>
    <w:rsid w:val="006F6AD2"/>
    <w:rsid w:val="006F6DDE"/>
    <w:rsid w:val="006F7456"/>
    <w:rsid w:val="006F7CCE"/>
    <w:rsid w:val="00702510"/>
    <w:rsid w:val="00703E43"/>
    <w:rsid w:val="00706B0A"/>
    <w:rsid w:val="0071078C"/>
    <w:rsid w:val="00710AFB"/>
    <w:rsid w:val="007113C0"/>
    <w:rsid w:val="00712400"/>
    <w:rsid w:val="00712950"/>
    <w:rsid w:val="00713923"/>
    <w:rsid w:val="0071571C"/>
    <w:rsid w:val="00715B3E"/>
    <w:rsid w:val="007163BF"/>
    <w:rsid w:val="007213E7"/>
    <w:rsid w:val="00722ABD"/>
    <w:rsid w:val="00722E01"/>
    <w:rsid w:val="00723A7F"/>
    <w:rsid w:val="00723DCC"/>
    <w:rsid w:val="0072593D"/>
    <w:rsid w:val="00726A50"/>
    <w:rsid w:val="00726F23"/>
    <w:rsid w:val="00727976"/>
    <w:rsid w:val="00727EB6"/>
    <w:rsid w:val="00730356"/>
    <w:rsid w:val="00731249"/>
    <w:rsid w:val="0073214A"/>
    <w:rsid w:val="007321DA"/>
    <w:rsid w:val="0073401D"/>
    <w:rsid w:val="0073410C"/>
    <w:rsid w:val="00735911"/>
    <w:rsid w:val="007361D8"/>
    <w:rsid w:val="00736BD1"/>
    <w:rsid w:val="007378D6"/>
    <w:rsid w:val="00737A99"/>
    <w:rsid w:val="007409F0"/>
    <w:rsid w:val="007422B4"/>
    <w:rsid w:val="00745675"/>
    <w:rsid w:val="007467AD"/>
    <w:rsid w:val="007467EC"/>
    <w:rsid w:val="00747E91"/>
    <w:rsid w:val="007501B6"/>
    <w:rsid w:val="00750494"/>
    <w:rsid w:val="007526EF"/>
    <w:rsid w:val="00753922"/>
    <w:rsid w:val="00753BCC"/>
    <w:rsid w:val="00753F02"/>
    <w:rsid w:val="00754423"/>
    <w:rsid w:val="00755204"/>
    <w:rsid w:val="0075545B"/>
    <w:rsid w:val="00755C80"/>
    <w:rsid w:val="00755D3C"/>
    <w:rsid w:val="007564E9"/>
    <w:rsid w:val="0075769E"/>
    <w:rsid w:val="00757E5C"/>
    <w:rsid w:val="0076044D"/>
    <w:rsid w:val="00760AFD"/>
    <w:rsid w:val="00761695"/>
    <w:rsid w:val="007617C6"/>
    <w:rsid w:val="00763146"/>
    <w:rsid w:val="00763E4C"/>
    <w:rsid w:val="0076641A"/>
    <w:rsid w:val="00770015"/>
    <w:rsid w:val="00771A31"/>
    <w:rsid w:val="0077215D"/>
    <w:rsid w:val="0077450D"/>
    <w:rsid w:val="007745B1"/>
    <w:rsid w:val="00774CB3"/>
    <w:rsid w:val="00774D7C"/>
    <w:rsid w:val="0077544D"/>
    <w:rsid w:val="007762D5"/>
    <w:rsid w:val="00777322"/>
    <w:rsid w:val="0077793D"/>
    <w:rsid w:val="00777F37"/>
    <w:rsid w:val="00780976"/>
    <w:rsid w:val="0078131A"/>
    <w:rsid w:val="00782E37"/>
    <w:rsid w:val="00784646"/>
    <w:rsid w:val="00784BA2"/>
    <w:rsid w:val="00785285"/>
    <w:rsid w:val="007865F1"/>
    <w:rsid w:val="00786E54"/>
    <w:rsid w:val="0079114E"/>
    <w:rsid w:val="007916E0"/>
    <w:rsid w:val="00792615"/>
    <w:rsid w:val="00792EF8"/>
    <w:rsid w:val="0079314C"/>
    <w:rsid w:val="00794C93"/>
    <w:rsid w:val="00796434"/>
    <w:rsid w:val="007A06D3"/>
    <w:rsid w:val="007A0AA6"/>
    <w:rsid w:val="007A0D87"/>
    <w:rsid w:val="007A174B"/>
    <w:rsid w:val="007A1F9B"/>
    <w:rsid w:val="007A35F8"/>
    <w:rsid w:val="007A4AB9"/>
    <w:rsid w:val="007A5E86"/>
    <w:rsid w:val="007A70BF"/>
    <w:rsid w:val="007B1BA4"/>
    <w:rsid w:val="007B1EF1"/>
    <w:rsid w:val="007B5667"/>
    <w:rsid w:val="007B5CC6"/>
    <w:rsid w:val="007B7514"/>
    <w:rsid w:val="007B7B7A"/>
    <w:rsid w:val="007B7E43"/>
    <w:rsid w:val="007C3017"/>
    <w:rsid w:val="007C3173"/>
    <w:rsid w:val="007C347F"/>
    <w:rsid w:val="007C35BA"/>
    <w:rsid w:val="007C3E1B"/>
    <w:rsid w:val="007C52C7"/>
    <w:rsid w:val="007C59D6"/>
    <w:rsid w:val="007C6616"/>
    <w:rsid w:val="007D0954"/>
    <w:rsid w:val="007D0B49"/>
    <w:rsid w:val="007D0BE0"/>
    <w:rsid w:val="007D2122"/>
    <w:rsid w:val="007D27E7"/>
    <w:rsid w:val="007D5134"/>
    <w:rsid w:val="007D55D0"/>
    <w:rsid w:val="007D62B9"/>
    <w:rsid w:val="007D7B78"/>
    <w:rsid w:val="007E0A0D"/>
    <w:rsid w:val="007E0ECD"/>
    <w:rsid w:val="007E0FB4"/>
    <w:rsid w:val="007E15C9"/>
    <w:rsid w:val="007E3B4B"/>
    <w:rsid w:val="007E4B8B"/>
    <w:rsid w:val="007E5199"/>
    <w:rsid w:val="007E639A"/>
    <w:rsid w:val="007F0661"/>
    <w:rsid w:val="007F1620"/>
    <w:rsid w:val="007F3377"/>
    <w:rsid w:val="007F36B2"/>
    <w:rsid w:val="007F42A8"/>
    <w:rsid w:val="007F42E0"/>
    <w:rsid w:val="007F4791"/>
    <w:rsid w:val="007F638D"/>
    <w:rsid w:val="007F63BE"/>
    <w:rsid w:val="007F6B78"/>
    <w:rsid w:val="007F6EE4"/>
    <w:rsid w:val="0080044D"/>
    <w:rsid w:val="00801C7D"/>
    <w:rsid w:val="0080493E"/>
    <w:rsid w:val="0080519A"/>
    <w:rsid w:val="00805285"/>
    <w:rsid w:val="008054C5"/>
    <w:rsid w:val="00806F0F"/>
    <w:rsid w:val="00807B28"/>
    <w:rsid w:val="00807F70"/>
    <w:rsid w:val="0081026F"/>
    <w:rsid w:val="00811407"/>
    <w:rsid w:val="00811AEC"/>
    <w:rsid w:val="00813624"/>
    <w:rsid w:val="00813BD2"/>
    <w:rsid w:val="00814FF4"/>
    <w:rsid w:val="00815C4B"/>
    <w:rsid w:val="00816CB1"/>
    <w:rsid w:val="00821CE9"/>
    <w:rsid w:val="0082465C"/>
    <w:rsid w:val="00824818"/>
    <w:rsid w:val="00831224"/>
    <w:rsid w:val="00831870"/>
    <w:rsid w:val="008338D0"/>
    <w:rsid w:val="008339B0"/>
    <w:rsid w:val="00834181"/>
    <w:rsid w:val="00834314"/>
    <w:rsid w:val="0083562C"/>
    <w:rsid w:val="0083589F"/>
    <w:rsid w:val="00836F56"/>
    <w:rsid w:val="00842943"/>
    <w:rsid w:val="00843610"/>
    <w:rsid w:val="008455E7"/>
    <w:rsid w:val="00847301"/>
    <w:rsid w:val="0084783D"/>
    <w:rsid w:val="00850D66"/>
    <w:rsid w:val="00852119"/>
    <w:rsid w:val="00852B0E"/>
    <w:rsid w:val="00855889"/>
    <w:rsid w:val="00855D11"/>
    <w:rsid w:val="00855F84"/>
    <w:rsid w:val="008562BA"/>
    <w:rsid w:val="00856528"/>
    <w:rsid w:val="008574B7"/>
    <w:rsid w:val="00857563"/>
    <w:rsid w:val="00857702"/>
    <w:rsid w:val="0086052B"/>
    <w:rsid w:val="00861FF1"/>
    <w:rsid w:val="008623BE"/>
    <w:rsid w:val="008652A1"/>
    <w:rsid w:val="00865986"/>
    <w:rsid w:val="0086694E"/>
    <w:rsid w:val="00870408"/>
    <w:rsid w:val="008708E6"/>
    <w:rsid w:val="00870E39"/>
    <w:rsid w:val="00873AEB"/>
    <w:rsid w:val="0087424E"/>
    <w:rsid w:val="008754FC"/>
    <w:rsid w:val="00876CC3"/>
    <w:rsid w:val="00880B76"/>
    <w:rsid w:val="00881A08"/>
    <w:rsid w:val="00881C97"/>
    <w:rsid w:val="00887731"/>
    <w:rsid w:val="00890680"/>
    <w:rsid w:val="00891721"/>
    <w:rsid w:val="008932B0"/>
    <w:rsid w:val="008A07A8"/>
    <w:rsid w:val="008A13D8"/>
    <w:rsid w:val="008A19C6"/>
    <w:rsid w:val="008A3555"/>
    <w:rsid w:val="008A45D4"/>
    <w:rsid w:val="008A4A22"/>
    <w:rsid w:val="008A5709"/>
    <w:rsid w:val="008A72FB"/>
    <w:rsid w:val="008B0AF1"/>
    <w:rsid w:val="008B213F"/>
    <w:rsid w:val="008B27EB"/>
    <w:rsid w:val="008B5C04"/>
    <w:rsid w:val="008B6352"/>
    <w:rsid w:val="008B6572"/>
    <w:rsid w:val="008C1714"/>
    <w:rsid w:val="008C1A6F"/>
    <w:rsid w:val="008C1D9C"/>
    <w:rsid w:val="008C6784"/>
    <w:rsid w:val="008D1AA0"/>
    <w:rsid w:val="008D2DDA"/>
    <w:rsid w:val="008D388A"/>
    <w:rsid w:val="008D4AC5"/>
    <w:rsid w:val="008D6C74"/>
    <w:rsid w:val="008D7A48"/>
    <w:rsid w:val="008E1C95"/>
    <w:rsid w:val="008E2476"/>
    <w:rsid w:val="008E393C"/>
    <w:rsid w:val="008E3CEA"/>
    <w:rsid w:val="008E7F6D"/>
    <w:rsid w:val="008F5851"/>
    <w:rsid w:val="008F6ED9"/>
    <w:rsid w:val="00900FE3"/>
    <w:rsid w:val="00902599"/>
    <w:rsid w:val="00902C25"/>
    <w:rsid w:val="009050C6"/>
    <w:rsid w:val="009061CD"/>
    <w:rsid w:val="00912E6B"/>
    <w:rsid w:val="009131BD"/>
    <w:rsid w:val="00913EC1"/>
    <w:rsid w:val="00914348"/>
    <w:rsid w:val="00920EF5"/>
    <w:rsid w:val="0092191A"/>
    <w:rsid w:val="00922C78"/>
    <w:rsid w:val="0092326F"/>
    <w:rsid w:val="00923FD6"/>
    <w:rsid w:val="009242DE"/>
    <w:rsid w:val="00924B15"/>
    <w:rsid w:val="00924D6D"/>
    <w:rsid w:val="0092509D"/>
    <w:rsid w:val="0092531C"/>
    <w:rsid w:val="00925C6C"/>
    <w:rsid w:val="00926221"/>
    <w:rsid w:val="00927535"/>
    <w:rsid w:val="009326E6"/>
    <w:rsid w:val="00933021"/>
    <w:rsid w:val="00935233"/>
    <w:rsid w:val="00935AF0"/>
    <w:rsid w:val="00936490"/>
    <w:rsid w:val="00936933"/>
    <w:rsid w:val="00936B97"/>
    <w:rsid w:val="0093756A"/>
    <w:rsid w:val="00937DA6"/>
    <w:rsid w:val="00941354"/>
    <w:rsid w:val="009416B5"/>
    <w:rsid w:val="00941EBE"/>
    <w:rsid w:val="009439E2"/>
    <w:rsid w:val="009448C3"/>
    <w:rsid w:val="00944C64"/>
    <w:rsid w:val="0094529E"/>
    <w:rsid w:val="009456C6"/>
    <w:rsid w:val="00946D87"/>
    <w:rsid w:val="00946EF7"/>
    <w:rsid w:val="00952FFD"/>
    <w:rsid w:val="00953E06"/>
    <w:rsid w:val="0095557D"/>
    <w:rsid w:val="00955E32"/>
    <w:rsid w:val="00956E2C"/>
    <w:rsid w:val="00957FB6"/>
    <w:rsid w:val="009637A6"/>
    <w:rsid w:val="00965135"/>
    <w:rsid w:val="009654DB"/>
    <w:rsid w:val="00965647"/>
    <w:rsid w:val="00966075"/>
    <w:rsid w:val="009668EB"/>
    <w:rsid w:val="00967260"/>
    <w:rsid w:val="009712FA"/>
    <w:rsid w:val="0097181E"/>
    <w:rsid w:val="00971D6D"/>
    <w:rsid w:val="00971FA0"/>
    <w:rsid w:val="00972048"/>
    <w:rsid w:val="00972B68"/>
    <w:rsid w:val="0097448D"/>
    <w:rsid w:val="00974A56"/>
    <w:rsid w:val="00974D12"/>
    <w:rsid w:val="00975601"/>
    <w:rsid w:val="009756D4"/>
    <w:rsid w:val="00977E53"/>
    <w:rsid w:val="009808A9"/>
    <w:rsid w:val="00980E83"/>
    <w:rsid w:val="0098394B"/>
    <w:rsid w:val="00985650"/>
    <w:rsid w:val="00985932"/>
    <w:rsid w:val="00986A98"/>
    <w:rsid w:val="00986D89"/>
    <w:rsid w:val="0098793F"/>
    <w:rsid w:val="00990B3C"/>
    <w:rsid w:val="009928F9"/>
    <w:rsid w:val="00993A84"/>
    <w:rsid w:val="00994063"/>
    <w:rsid w:val="00995D31"/>
    <w:rsid w:val="00996C2E"/>
    <w:rsid w:val="00997A65"/>
    <w:rsid w:val="009A01E7"/>
    <w:rsid w:val="009A248F"/>
    <w:rsid w:val="009A3528"/>
    <w:rsid w:val="009A3719"/>
    <w:rsid w:val="009A601F"/>
    <w:rsid w:val="009A6309"/>
    <w:rsid w:val="009A65B7"/>
    <w:rsid w:val="009A76BF"/>
    <w:rsid w:val="009A7C2E"/>
    <w:rsid w:val="009B1C9A"/>
    <w:rsid w:val="009B28DC"/>
    <w:rsid w:val="009B32CF"/>
    <w:rsid w:val="009B41D3"/>
    <w:rsid w:val="009B553E"/>
    <w:rsid w:val="009B55B5"/>
    <w:rsid w:val="009B5CCC"/>
    <w:rsid w:val="009B64F3"/>
    <w:rsid w:val="009B685A"/>
    <w:rsid w:val="009C076C"/>
    <w:rsid w:val="009C2D5C"/>
    <w:rsid w:val="009C31D8"/>
    <w:rsid w:val="009C38C5"/>
    <w:rsid w:val="009C520E"/>
    <w:rsid w:val="009C604A"/>
    <w:rsid w:val="009C66E1"/>
    <w:rsid w:val="009C7A6E"/>
    <w:rsid w:val="009D0A31"/>
    <w:rsid w:val="009D0E85"/>
    <w:rsid w:val="009D10AF"/>
    <w:rsid w:val="009D1FBA"/>
    <w:rsid w:val="009D39DF"/>
    <w:rsid w:val="009D5262"/>
    <w:rsid w:val="009D75F1"/>
    <w:rsid w:val="009D7E6B"/>
    <w:rsid w:val="009E0902"/>
    <w:rsid w:val="009E3071"/>
    <w:rsid w:val="009E4C04"/>
    <w:rsid w:val="009E5335"/>
    <w:rsid w:val="009E5B43"/>
    <w:rsid w:val="009E6511"/>
    <w:rsid w:val="009E6873"/>
    <w:rsid w:val="009E6FBE"/>
    <w:rsid w:val="009E77F5"/>
    <w:rsid w:val="009F2224"/>
    <w:rsid w:val="009F3196"/>
    <w:rsid w:val="009F4264"/>
    <w:rsid w:val="009F4681"/>
    <w:rsid w:val="009F6311"/>
    <w:rsid w:val="009F6DB2"/>
    <w:rsid w:val="009F6FAF"/>
    <w:rsid w:val="009F7B68"/>
    <w:rsid w:val="009F7F1A"/>
    <w:rsid w:val="00A0128A"/>
    <w:rsid w:val="00A01D13"/>
    <w:rsid w:val="00A0219E"/>
    <w:rsid w:val="00A03360"/>
    <w:rsid w:val="00A03C37"/>
    <w:rsid w:val="00A04662"/>
    <w:rsid w:val="00A05980"/>
    <w:rsid w:val="00A071B1"/>
    <w:rsid w:val="00A071C7"/>
    <w:rsid w:val="00A1099C"/>
    <w:rsid w:val="00A121B3"/>
    <w:rsid w:val="00A123A2"/>
    <w:rsid w:val="00A12D8D"/>
    <w:rsid w:val="00A13CAD"/>
    <w:rsid w:val="00A1563E"/>
    <w:rsid w:val="00A16331"/>
    <w:rsid w:val="00A17B97"/>
    <w:rsid w:val="00A20B4A"/>
    <w:rsid w:val="00A2103C"/>
    <w:rsid w:val="00A2171B"/>
    <w:rsid w:val="00A2352F"/>
    <w:rsid w:val="00A24CF2"/>
    <w:rsid w:val="00A2777E"/>
    <w:rsid w:val="00A30D33"/>
    <w:rsid w:val="00A32F11"/>
    <w:rsid w:val="00A334D5"/>
    <w:rsid w:val="00A33AD0"/>
    <w:rsid w:val="00A34139"/>
    <w:rsid w:val="00A3469A"/>
    <w:rsid w:val="00A37343"/>
    <w:rsid w:val="00A41267"/>
    <w:rsid w:val="00A41A18"/>
    <w:rsid w:val="00A420DE"/>
    <w:rsid w:val="00A46880"/>
    <w:rsid w:val="00A46917"/>
    <w:rsid w:val="00A47093"/>
    <w:rsid w:val="00A5069B"/>
    <w:rsid w:val="00A5173F"/>
    <w:rsid w:val="00A53A11"/>
    <w:rsid w:val="00A60820"/>
    <w:rsid w:val="00A62FDA"/>
    <w:rsid w:val="00A630A1"/>
    <w:rsid w:val="00A63645"/>
    <w:rsid w:val="00A656C2"/>
    <w:rsid w:val="00A702AA"/>
    <w:rsid w:val="00A70DDE"/>
    <w:rsid w:val="00A73F14"/>
    <w:rsid w:val="00A777A2"/>
    <w:rsid w:val="00A83439"/>
    <w:rsid w:val="00A83954"/>
    <w:rsid w:val="00A84359"/>
    <w:rsid w:val="00A8616D"/>
    <w:rsid w:val="00A8651A"/>
    <w:rsid w:val="00A86B3A"/>
    <w:rsid w:val="00A87D2B"/>
    <w:rsid w:val="00A91E78"/>
    <w:rsid w:val="00A923EF"/>
    <w:rsid w:val="00A92CFC"/>
    <w:rsid w:val="00A9303E"/>
    <w:rsid w:val="00A941AA"/>
    <w:rsid w:val="00A97764"/>
    <w:rsid w:val="00AA15EF"/>
    <w:rsid w:val="00AA1860"/>
    <w:rsid w:val="00AA1E67"/>
    <w:rsid w:val="00AA28BA"/>
    <w:rsid w:val="00AA37FD"/>
    <w:rsid w:val="00AA4303"/>
    <w:rsid w:val="00AA50CD"/>
    <w:rsid w:val="00AA741F"/>
    <w:rsid w:val="00AB03E1"/>
    <w:rsid w:val="00AB23B0"/>
    <w:rsid w:val="00AB536B"/>
    <w:rsid w:val="00AB5727"/>
    <w:rsid w:val="00AB6132"/>
    <w:rsid w:val="00AB6F7F"/>
    <w:rsid w:val="00AB71C8"/>
    <w:rsid w:val="00AC14A8"/>
    <w:rsid w:val="00AC1F57"/>
    <w:rsid w:val="00AC30BF"/>
    <w:rsid w:val="00AC4F7F"/>
    <w:rsid w:val="00AC553B"/>
    <w:rsid w:val="00AC750F"/>
    <w:rsid w:val="00AC7855"/>
    <w:rsid w:val="00AC7FD1"/>
    <w:rsid w:val="00AD0AA9"/>
    <w:rsid w:val="00AD1D29"/>
    <w:rsid w:val="00AD23ED"/>
    <w:rsid w:val="00AD2B6E"/>
    <w:rsid w:val="00AD2BB9"/>
    <w:rsid w:val="00AD3A0A"/>
    <w:rsid w:val="00AD44C6"/>
    <w:rsid w:val="00AD4933"/>
    <w:rsid w:val="00AD62B9"/>
    <w:rsid w:val="00AD796B"/>
    <w:rsid w:val="00AE262D"/>
    <w:rsid w:val="00AE2A53"/>
    <w:rsid w:val="00AE2F84"/>
    <w:rsid w:val="00AE3322"/>
    <w:rsid w:val="00AF02E0"/>
    <w:rsid w:val="00AF0F63"/>
    <w:rsid w:val="00AF4BB4"/>
    <w:rsid w:val="00AF54E2"/>
    <w:rsid w:val="00AF5B9B"/>
    <w:rsid w:val="00B001E3"/>
    <w:rsid w:val="00B007FD"/>
    <w:rsid w:val="00B0154A"/>
    <w:rsid w:val="00B01F6E"/>
    <w:rsid w:val="00B035E8"/>
    <w:rsid w:val="00B0683B"/>
    <w:rsid w:val="00B07BEA"/>
    <w:rsid w:val="00B105EF"/>
    <w:rsid w:val="00B10B17"/>
    <w:rsid w:val="00B13DD5"/>
    <w:rsid w:val="00B1447C"/>
    <w:rsid w:val="00B146AB"/>
    <w:rsid w:val="00B152AF"/>
    <w:rsid w:val="00B1734A"/>
    <w:rsid w:val="00B17A0E"/>
    <w:rsid w:val="00B20E1F"/>
    <w:rsid w:val="00B210BA"/>
    <w:rsid w:val="00B21815"/>
    <w:rsid w:val="00B22008"/>
    <w:rsid w:val="00B224F6"/>
    <w:rsid w:val="00B226C5"/>
    <w:rsid w:val="00B32129"/>
    <w:rsid w:val="00B33930"/>
    <w:rsid w:val="00B35991"/>
    <w:rsid w:val="00B3639F"/>
    <w:rsid w:val="00B37C65"/>
    <w:rsid w:val="00B37E5C"/>
    <w:rsid w:val="00B41922"/>
    <w:rsid w:val="00B4277A"/>
    <w:rsid w:val="00B42BCC"/>
    <w:rsid w:val="00B45345"/>
    <w:rsid w:val="00B46D1B"/>
    <w:rsid w:val="00B506D3"/>
    <w:rsid w:val="00B50A11"/>
    <w:rsid w:val="00B52595"/>
    <w:rsid w:val="00B53D5A"/>
    <w:rsid w:val="00B5571F"/>
    <w:rsid w:val="00B61BF1"/>
    <w:rsid w:val="00B61F7F"/>
    <w:rsid w:val="00B62F7E"/>
    <w:rsid w:val="00B633C3"/>
    <w:rsid w:val="00B63E88"/>
    <w:rsid w:val="00B64C88"/>
    <w:rsid w:val="00B66B21"/>
    <w:rsid w:val="00B67236"/>
    <w:rsid w:val="00B71313"/>
    <w:rsid w:val="00B74C81"/>
    <w:rsid w:val="00B75A8E"/>
    <w:rsid w:val="00B75E1D"/>
    <w:rsid w:val="00B76198"/>
    <w:rsid w:val="00B762F0"/>
    <w:rsid w:val="00B766C3"/>
    <w:rsid w:val="00B771E4"/>
    <w:rsid w:val="00B77312"/>
    <w:rsid w:val="00B77C0A"/>
    <w:rsid w:val="00B81339"/>
    <w:rsid w:val="00B829E5"/>
    <w:rsid w:val="00B84907"/>
    <w:rsid w:val="00B8531B"/>
    <w:rsid w:val="00B85AC8"/>
    <w:rsid w:val="00B865F1"/>
    <w:rsid w:val="00B87FE1"/>
    <w:rsid w:val="00B90992"/>
    <w:rsid w:val="00B91943"/>
    <w:rsid w:val="00B923B5"/>
    <w:rsid w:val="00B935A2"/>
    <w:rsid w:val="00B939D2"/>
    <w:rsid w:val="00B93B1F"/>
    <w:rsid w:val="00B948D7"/>
    <w:rsid w:val="00B953ED"/>
    <w:rsid w:val="00B969E5"/>
    <w:rsid w:val="00B972F2"/>
    <w:rsid w:val="00B97C0D"/>
    <w:rsid w:val="00B97CCC"/>
    <w:rsid w:val="00B97EED"/>
    <w:rsid w:val="00B97F0A"/>
    <w:rsid w:val="00BA0BC0"/>
    <w:rsid w:val="00BA1B01"/>
    <w:rsid w:val="00BA1F27"/>
    <w:rsid w:val="00BA2117"/>
    <w:rsid w:val="00BA3A61"/>
    <w:rsid w:val="00BA3F27"/>
    <w:rsid w:val="00BA440D"/>
    <w:rsid w:val="00BA4B77"/>
    <w:rsid w:val="00BA5928"/>
    <w:rsid w:val="00BA5DBC"/>
    <w:rsid w:val="00BA7112"/>
    <w:rsid w:val="00BA7795"/>
    <w:rsid w:val="00BB579C"/>
    <w:rsid w:val="00BB702F"/>
    <w:rsid w:val="00BB72AB"/>
    <w:rsid w:val="00BC18BF"/>
    <w:rsid w:val="00BC2213"/>
    <w:rsid w:val="00BC3426"/>
    <w:rsid w:val="00BC48F3"/>
    <w:rsid w:val="00BC5E8E"/>
    <w:rsid w:val="00BC6F45"/>
    <w:rsid w:val="00BC719D"/>
    <w:rsid w:val="00BD1695"/>
    <w:rsid w:val="00BD3061"/>
    <w:rsid w:val="00BD32D7"/>
    <w:rsid w:val="00BD4A02"/>
    <w:rsid w:val="00BE00A9"/>
    <w:rsid w:val="00BE100F"/>
    <w:rsid w:val="00BE1183"/>
    <w:rsid w:val="00BE1269"/>
    <w:rsid w:val="00BE208B"/>
    <w:rsid w:val="00BE3129"/>
    <w:rsid w:val="00BE4B49"/>
    <w:rsid w:val="00BE6801"/>
    <w:rsid w:val="00BF0C1C"/>
    <w:rsid w:val="00BF1872"/>
    <w:rsid w:val="00BF31B1"/>
    <w:rsid w:val="00BF37A9"/>
    <w:rsid w:val="00BF51B3"/>
    <w:rsid w:val="00BF51D1"/>
    <w:rsid w:val="00BF5509"/>
    <w:rsid w:val="00BF7672"/>
    <w:rsid w:val="00C0039C"/>
    <w:rsid w:val="00C00CD0"/>
    <w:rsid w:val="00C017ED"/>
    <w:rsid w:val="00C020F1"/>
    <w:rsid w:val="00C0291B"/>
    <w:rsid w:val="00C02F82"/>
    <w:rsid w:val="00C0344C"/>
    <w:rsid w:val="00C04CD1"/>
    <w:rsid w:val="00C05120"/>
    <w:rsid w:val="00C05740"/>
    <w:rsid w:val="00C0635E"/>
    <w:rsid w:val="00C06770"/>
    <w:rsid w:val="00C07190"/>
    <w:rsid w:val="00C15281"/>
    <w:rsid w:val="00C16168"/>
    <w:rsid w:val="00C16BC5"/>
    <w:rsid w:val="00C16E93"/>
    <w:rsid w:val="00C16FF6"/>
    <w:rsid w:val="00C17A09"/>
    <w:rsid w:val="00C2007C"/>
    <w:rsid w:val="00C22C2F"/>
    <w:rsid w:val="00C22DC1"/>
    <w:rsid w:val="00C23C6E"/>
    <w:rsid w:val="00C23FCB"/>
    <w:rsid w:val="00C24653"/>
    <w:rsid w:val="00C26D10"/>
    <w:rsid w:val="00C2737D"/>
    <w:rsid w:val="00C30F2C"/>
    <w:rsid w:val="00C31A37"/>
    <w:rsid w:val="00C31FFE"/>
    <w:rsid w:val="00C36DE5"/>
    <w:rsid w:val="00C37C66"/>
    <w:rsid w:val="00C37F6A"/>
    <w:rsid w:val="00C404AF"/>
    <w:rsid w:val="00C40B53"/>
    <w:rsid w:val="00C4131B"/>
    <w:rsid w:val="00C42412"/>
    <w:rsid w:val="00C43131"/>
    <w:rsid w:val="00C43186"/>
    <w:rsid w:val="00C441DF"/>
    <w:rsid w:val="00C443A7"/>
    <w:rsid w:val="00C46BF3"/>
    <w:rsid w:val="00C46EA0"/>
    <w:rsid w:val="00C507EA"/>
    <w:rsid w:val="00C52F30"/>
    <w:rsid w:val="00C5408C"/>
    <w:rsid w:val="00C5426F"/>
    <w:rsid w:val="00C548D4"/>
    <w:rsid w:val="00C56033"/>
    <w:rsid w:val="00C560F2"/>
    <w:rsid w:val="00C5665E"/>
    <w:rsid w:val="00C60095"/>
    <w:rsid w:val="00C61E64"/>
    <w:rsid w:val="00C63563"/>
    <w:rsid w:val="00C649E3"/>
    <w:rsid w:val="00C660C4"/>
    <w:rsid w:val="00C70AF0"/>
    <w:rsid w:val="00C7240C"/>
    <w:rsid w:val="00C73DA2"/>
    <w:rsid w:val="00C74230"/>
    <w:rsid w:val="00C81B24"/>
    <w:rsid w:val="00C81FA2"/>
    <w:rsid w:val="00C845D4"/>
    <w:rsid w:val="00C907A3"/>
    <w:rsid w:val="00C92427"/>
    <w:rsid w:val="00C94930"/>
    <w:rsid w:val="00C94A41"/>
    <w:rsid w:val="00C9554C"/>
    <w:rsid w:val="00C9612E"/>
    <w:rsid w:val="00C96C7E"/>
    <w:rsid w:val="00C97BEF"/>
    <w:rsid w:val="00C97F92"/>
    <w:rsid w:val="00CA18DD"/>
    <w:rsid w:val="00CA1A95"/>
    <w:rsid w:val="00CA28F7"/>
    <w:rsid w:val="00CA2F7E"/>
    <w:rsid w:val="00CA3730"/>
    <w:rsid w:val="00CA42AE"/>
    <w:rsid w:val="00CA4F7D"/>
    <w:rsid w:val="00CA588C"/>
    <w:rsid w:val="00CA7A2A"/>
    <w:rsid w:val="00CB01B4"/>
    <w:rsid w:val="00CB0DAC"/>
    <w:rsid w:val="00CB1FA9"/>
    <w:rsid w:val="00CB2915"/>
    <w:rsid w:val="00CB2DA3"/>
    <w:rsid w:val="00CB6145"/>
    <w:rsid w:val="00CC123D"/>
    <w:rsid w:val="00CC646B"/>
    <w:rsid w:val="00CC65E7"/>
    <w:rsid w:val="00CD0062"/>
    <w:rsid w:val="00CD13FD"/>
    <w:rsid w:val="00CD382D"/>
    <w:rsid w:val="00CD4C69"/>
    <w:rsid w:val="00CD7FC6"/>
    <w:rsid w:val="00CE0B20"/>
    <w:rsid w:val="00CE1C2E"/>
    <w:rsid w:val="00CE2B52"/>
    <w:rsid w:val="00CE2C5D"/>
    <w:rsid w:val="00CE3F80"/>
    <w:rsid w:val="00CE5CA8"/>
    <w:rsid w:val="00CE6460"/>
    <w:rsid w:val="00CF009B"/>
    <w:rsid w:val="00CF1C46"/>
    <w:rsid w:val="00CF2066"/>
    <w:rsid w:val="00CF4685"/>
    <w:rsid w:val="00CF5685"/>
    <w:rsid w:val="00CF597C"/>
    <w:rsid w:val="00CF62C0"/>
    <w:rsid w:val="00D00427"/>
    <w:rsid w:val="00D01BA6"/>
    <w:rsid w:val="00D029CA"/>
    <w:rsid w:val="00D02C4A"/>
    <w:rsid w:val="00D02F9B"/>
    <w:rsid w:val="00D03971"/>
    <w:rsid w:val="00D058FE"/>
    <w:rsid w:val="00D06B71"/>
    <w:rsid w:val="00D06FA7"/>
    <w:rsid w:val="00D10EAB"/>
    <w:rsid w:val="00D121FC"/>
    <w:rsid w:val="00D13347"/>
    <w:rsid w:val="00D13749"/>
    <w:rsid w:val="00D15E5F"/>
    <w:rsid w:val="00D1760A"/>
    <w:rsid w:val="00D2064B"/>
    <w:rsid w:val="00D2134B"/>
    <w:rsid w:val="00D213FD"/>
    <w:rsid w:val="00D21F83"/>
    <w:rsid w:val="00D2308D"/>
    <w:rsid w:val="00D235DC"/>
    <w:rsid w:val="00D25A37"/>
    <w:rsid w:val="00D25EB9"/>
    <w:rsid w:val="00D262C0"/>
    <w:rsid w:val="00D27847"/>
    <w:rsid w:val="00D27C5A"/>
    <w:rsid w:val="00D306AD"/>
    <w:rsid w:val="00D31996"/>
    <w:rsid w:val="00D31A86"/>
    <w:rsid w:val="00D34C21"/>
    <w:rsid w:val="00D36733"/>
    <w:rsid w:val="00D37A59"/>
    <w:rsid w:val="00D40E75"/>
    <w:rsid w:val="00D422D1"/>
    <w:rsid w:val="00D438B8"/>
    <w:rsid w:val="00D43AC0"/>
    <w:rsid w:val="00D46ACE"/>
    <w:rsid w:val="00D47537"/>
    <w:rsid w:val="00D51372"/>
    <w:rsid w:val="00D5346E"/>
    <w:rsid w:val="00D53DAC"/>
    <w:rsid w:val="00D56C2E"/>
    <w:rsid w:val="00D57298"/>
    <w:rsid w:val="00D57348"/>
    <w:rsid w:val="00D57691"/>
    <w:rsid w:val="00D57A77"/>
    <w:rsid w:val="00D60DA1"/>
    <w:rsid w:val="00D610CA"/>
    <w:rsid w:val="00D623CB"/>
    <w:rsid w:val="00D637A9"/>
    <w:rsid w:val="00D648E2"/>
    <w:rsid w:val="00D65596"/>
    <w:rsid w:val="00D66E68"/>
    <w:rsid w:val="00D70359"/>
    <w:rsid w:val="00D7082D"/>
    <w:rsid w:val="00D70EB7"/>
    <w:rsid w:val="00D71B08"/>
    <w:rsid w:val="00D72997"/>
    <w:rsid w:val="00D736A1"/>
    <w:rsid w:val="00D73813"/>
    <w:rsid w:val="00D73983"/>
    <w:rsid w:val="00D73BE8"/>
    <w:rsid w:val="00D73C0F"/>
    <w:rsid w:val="00D75469"/>
    <w:rsid w:val="00D76689"/>
    <w:rsid w:val="00D76A77"/>
    <w:rsid w:val="00D77363"/>
    <w:rsid w:val="00D77B87"/>
    <w:rsid w:val="00D81CF8"/>
    <w:rsid w:val="00D822F6"/>
    <w:rsid w:val="00D83413"/>
    <w:rsid w:val="00D83C72"/>
    <w:rsid w:val="00D841E2"/>
    <w:rsid w:val="00D84DD0"/>
    <w:rsid w:val="00D85B20"/>
    <w:rsid w:val="00D85C8D"/>
    <w:rsid w:val="00D85C9C"/>
    <w:rsid w:val="00D85E0E"/>
    <w:rsid w:val="00D86509"/>
    <w:rsid w:val="00D87FFD"/>
    <w:rsid w:val="00D90877"/>
    <w:rsid w:val="00D90903"/>
    <w:rsid w:val="00D91D0D"/>
    <w:rsid w:val="00D92782"/>
    <w:rsid w:val="00D929FA"/>
    <w:rsid w:val="00D9300C"/>
    <w:rsid w:val="00D94305"/>
    <w:rsid w:val="00D954D3"/>
    <w:rsid w:val="00D95D24"/>
    <w:rsid w:val="00D9621A"/>
    <w:rsid w:val="00DA10C4"/>
    <w:rsid w:val="00DA1114"/>
    <w:rsid w:val="00DA2C97"/>
    <w:rsid w:val="00DA33A0"/>
    <w:rsid w:val="00DA3FD6"/>
    <w:rsid w:val="00DA5E57"/>
    <w:rsid w:val="00DA67C8"/>
    <w:rsid w:val="00DA6C6B"/>
    <w:rsid w:val="00DB0DCB"/>
    <w:rsid w:val="00DB1A74"/>
    <w:rsid w:val="00DB1B87"/>
    <w:rsid w:val="00DC1EB3"/>
    <w:rsid w:val="00DC2C7C"/>
    <w:rsid w:val="00DC2F7E"/>
    <w:rsid w:val="00DC5774"/>
    <w:rsid w:val="00DC63D7"/>
    <w:rsid w:val="00DD15FA"/>
    <w:rsid w:val="00DD3864"/>
    <w:rsid w:val="00DD3C46"/>
    <w:rsid w:val="00DD547B"/>
    <w:rsid w:val="00DD6051"/>
    <w:rsid w:val="00DE19A6"/>
    <w:rsid w:val="00DE220A"/>
    <w:rsid w:val="00DE4B6B"/>
    <w:rsid w:val="00DE6392"/>
    <w:rsid w:val="00DE71A9"/>
    <w:rsid w:val="00DE7348"/>
    <w:rsid w:val="00DE7820"/>
    <w:rsid w:val="00DF1391"/>
    <w:rsid w:val="00DF2431"/>
    <w:rsid w:val="00E02CDB"/>
    <w:rsid w:val="00E039CD"/>
    <w:rsid w:val="00E04EDF"/>
    <w:rsid w:val="00E058C3"/>
    <w:rsid w:val="00E05EB8"/>
    <w:rsid w:val="00E05F92"/>
    <w:rsid w:val="00E062E7"/>
    <w:rsid w:val="00E06ACC"/>
    <w:rsid w:val="00E0732F"/>
    <w:rsid w:val="00E10375"/>
    <w:rsid w:val="00E13FF0"/>
    <w:rsid w:val="00E16014"/>
    <w:rsid w:val="00E17BF5"/>
    <w:rsid w:val="00E2137C"/>
    <w:rsid w:val="00E2194F"/>
    <w:rsid w:val="00E22F4A"/>
    <w:rsid w:val="00E23BDC"/>
    <w:rsid w:val="00E244B1"/>
    <w:rsid w:val="00E2621F"/>
    <w:rsid w:val="00E30345"/>
    <w:rsid w:val="00E3416C"/>
    <w:rsid w:val="00E34F05"/>
    <w:rsid w:val="00E34F67"/>
    <w:rsid w:val="00E37200"/>
    <w:rsid w:val="00E40D0B"/>
    <w:rsid w:val="00E41410"/>
    <w:rsid w:val="00E41CAD"/>
    <w:rsid w:val="00E4258E"/>
    <w:rsid w:val="00E446B4"/>
    <w:rsid w:val="00E44D46"/>
    <w:rsid w:val="00E455AD"/>
    <w:rsid w:val="00E4646D"/>
    <w:rsid w:val="00E515BB"/>
    <w:rsid w:val="00E52507"/>
    <w:rsid w:val="00E52EA0"/>
    <w:rsid w:val="00E534AA"/>
    <w:rsid w:val="00E5406B"/>
    <w:rsid w:val="00E54092"/>
    <w:rsid w:val="00E552CD"/>
    <w:rsid w:val="00E560E2"/>
    <w:rsid w:val="00E56C5A"/>
    <w:rsid w:val="00E61376"/>
    <w:rsid w:val="00E6232A"/>
    <w:rsid w:val="00E65500"/>
    <w:rsid w:val="00E657BF"/>
    <w:rsid w:val="00E712BA"/>
    <w:rsid w:val="00E7345A"/>
    <w:rsid w:val="00E736D0"/>
    <w:rsid w:val="00E73F23"/>
    <w:rsid w:val="00E73FAC"/>
    <w:rsid w:val="00E76A0D"/>
    <w:rsid w:val="00E775C6"/>
    <w:rsid w:val="00E77A0E"/>
    <w:rsid w:val="00E81C43"/>
    <w:rsid w:val="00E82274"/>
    <w:rsid w:val="00E82E25"/>
    <w:rsid w:val="00E83715"/>
    <w:rsid w:val="00E851E2"/>
    <w:rsid w:val="00E858B5"/>
    <w:rsid w:val="00E86EC2"/>
    <w:rsid w:val="00E86F24"/>
    <w:rsid w:val="00E874B8"/>
    <w:rsid w:val="00E90C70"/>
    <w:rsid w:val="00E918F6"/>
    <w:rsid w:val="00E91B86"/>
    <w:rsid w:val="00E9231B"/>
    <w:rsid w:val="00E9277D"/>
    <w:rsid w:val="00E942FD"/>
    <w:rsid w:val="00E9460F"/>
    <w:rsid w:val="00E94A1C"/>
    <w:rsid w:val="00E97A23"/>
    <w:rsid w:val="00EA1B7A"/>
    <w:rsid w:val="00EA2130"/>
    <w:rsid w:val="00EA2D5D"/>
    <w:rsid w:val="00EA4993"/>
    <w:rsid w:val="00EA58D5"/>
    <w:rsid w:val="00EB05BF"/>
    <w:rsid w:val="00EB06DC"/>
    <w:rsid w:val="00EB1576"/>
    <w:rsid w:val="00EB1870"/>
    <w:rsid w:val="00EB1CC9"/>
    <w:rsid w:val="00EB403E"/>
    <w:rsid w:val="00EB482E"/>
    <w:rsid w:val="00EB58BC"/>
    <w:rsid w:val="00EB7406"/>
    <w:rsid w:val="00EC00A4"/>
    <w:rsid w:val="00EC0927"/>
    <w:rsid w:val="00EC3F78"/>
    <w:rsid w:val="00EC462D"/>
    <w:rsid w:val="00EC46A8"/>
    <w:rsid w:val="00EC4AF9"/>
    <w:rsid w:val="00EC4BE2"/>
    <w:rsid w:val="00EC52F8"/>
    <w:rsid w:val="00EC7F34"/>
    <w:rsid w:val="00ED0814"/>
    <w:rsid w:val="00ED0F48"/>
    <w:rsid w:val="00ED4928"/>
    <w:rsid w:val="00ED5571"/>
    <w:rsid w:val="00ED6021"/>
    <w:rsid w:val="00ED6903"/>
    <w:rsid w:val="00ED7629"/>
    <w:rsid w:val="00ED76BD"/>
    <w:rsid w:val="00ED7855"/>
    <w:rsid w:val="00EE0CC4"/>
    <w:rsid w:val="00EE14B8"/>
    <w:rsid w:val="00EE20A8"/>
    <w:rsid w:val="00EE4019"/>
    <w:rsid w:val="00EE45ED"/>
    <w:rsid w:val="00EE526D"/>
    <w:rsid w:val="00EE594A"/>
    <w:rsid w:val="00EE65B4"/>
    <w:rsid w:val="00EE70BD"/>
    <w:rsid w:val="00EF11AE"/>
    <w:rsid w:val="00EF2480"/>
    <w:rsid w:val="00EF307B"/>
    <w:rsid w:val="00EF44B9"/>
    <w:rsid w:val="00EF6990"/>
    <w:rsid w:val="00EF6FE1"/>
    <w:rsid w:val="00EF7985"/>
    <w:rsid w:val="00F00280"/>
    <w:rsid w:val="00F01C00"/>
    <w:rsid w:val="00F02C4A"/>
    <w:rsid w:val="00F07D55"/>
    <w:rsid w:val="00F07F16"/>
    <w:rsid w:val="00F07FBE"/>
    <w:rsid w:val="00F11356"/>
    <w:rsid w:val="00F120BD"/>
    <w:rsid w:val="00F13D2F"/>
    <w:rsid w:val="00F14B17"/>
    <w:rsid w:val="00F14F87"/>
    <w:rsid w:val="00F16E7C"/>
    <w:rsid w:val="00F21553"/>
    <w:rsid w:val="00F221D1"/>
    <w:rsid w:val="00F22D6F"/>
    <w:rsid w:val="00F22EE6"/>
    <w:rsid w:val="00F24B46"/>
    <w:rsid w:val="00F257CB"/>
    <w:rsid w:val="00F25AE1"/>
    <w:rsid w:val="00F25B34"/>
    <w:rsid w:val="00F26506"/>
    <w:rsid w:val="00F26F8D"/>
    <w:rsid w:val="00F27D5C"/>
    <w:rsid w:val="00F33461"/>
    <w:rsid w:val="00F33CA1"/>
    <w:rsid w:val="00F34EF8"/>
    <w:rsid w:val="00F35A45"/>
    <w:rsid w:val="00F3786E"/>
    <w:rsid w:val="00F4048D"/>
    <w:rsid w:val="00F41FC6"/>
    <w:rsid w:val="00F42309"/>
    <w:rsid w:val="00F42F97"/>
    <w:rsid w:val="00F519E4"/>
    <w:rsid w:val="00F528E4"/>
    <w:rsid w:val="00F53461"/>
    <w:rsid w:val="00F53A11"/>
    <w:rsid w:val="00F54282"/>
    <w:rsid w:val="00F54C03"/>
    <w:rsid w:val="00F56406"/>
    <w:rsid w:val="00F60747"/>
    <w:rsid w:val="00F61B69"/>
    <w:rsid w:val="00F61E90"/>
    <w:rsid w:val="00F6228B"/>
    <w:rsid w:val="00F63593"/>
    <w:rsid w:val="00F6372F"/>
    <w:rsid w:val="00F6413A"/>
    <w:rsid w:val="00F647D5"/>
    <w:rsid w:val="00F65B1E"/>
    <w:rsid w:val="00F6605A"/>
    <w:rsid w:val="00F662BB"/>
    <w:rsid w:val="00F70AD8"/>
    <w:rsid w:val="00F7115E"/>
    <w:rsid w:val="00F72C9F"/>
    <w:rsid w:val="00F7619F"/>
    <w:rsid w:val="00F7657D"/>
    <w:rsid w:val="00F778C1"/>
    <w:rsid w:val="00F8055D"/>
    <w:rsid w:val="00F83261"/>
    <w:rsid w:val="00F83E46"/>
    <w:rsid w:val="00F8472F"/>
    <w:rsid w:val="00F853AB"/>
    <w:rsid w:val="00F85510"/>
    <w:rsid w:val="00F859F5"/>
    <w:rsid w:val="00F86F0B"/>
    <w:rsid w:val="00F904A2"/>
    <w:rsid w:val="00F92751"/>
    <w:rsid w:val="00F93414"/>
    <w:rsid w:val="00F9404F"/>
    <w:rsid w:val="00F95A0C"/>
    <w:rsid w:val="00FA0BBF"/>
    <w:rsid w:val="00FA20C1"/>
    <w:rsid w:val="00FA289A"/>
    <w:rsid w:val="00FA290E"/>
    <w:rsid w:val="00FA2DFF"/>
    <w:rsid w:val="00FA2ED1"/>
    <w:rsid w:val="00FA3EC6"/>
    <w:rsid w:val="00FA67C7"/>
    <w:rsid w:val="00FB0D37"/>
    <w:rsid w:val="00FB2A79"/>
    <w:rsid w:val="00FB36D1"/>
    <w:rsid w:val="00FB3E6B"/>
    <w:rsid w:val="00FB5026"/>
    <w:rsid w:val="00FB5D25"/>
    <w:rsid w:val="00FC0683"/>
    <w:rsid w:val="00FC0D13"/>
    <w:rsid w:val="00FC13BB"/>
    <w:rsid w:val="00FC2E82"/>
    <w:rsid w:val="00FC5C61"/>
    <w:rsid w:val="00FC6283"/>
    <w:rsid w:val="00FC6D23"/>
    <w:rsid w:val="00FC7DCB"/>
    <w:rsid w:val="00FD1740"/>
    <w:rsid w:val="00FD254E"/>
    <w:rsid w:val="00FD32D3"/>
    <w:rsid w:val="00FD3B43"/>
    <w:rsid w:val="00FD42A7"/>
    <w:rsid w:val="00FD6A8A"/>
    <w:rsid w:val="00FE1D26"/>
    <w:rsid w:val="00FE25D7"/>
    <w:rsid w:val="00FE2B5C"/>
    <w:rsid w:val="00FE4AF2"/>
    <w:rsid w:val="00FE57F5"/>
    <w:rsid w:val="00FE7956"/>
    <w:rsid w:val="00FF1497"/>
    <w:rsid w:val="00FF2667"/>
    <w:rsid w:val="00FF2DEE"/>
    <w:rsid w:val="00FF30CF"/>
    <w:rsid w:val="00FF37CE"/>
    <w:rsid w:val="00FF4554"/>
    <w:rsid w:val="00FF6B9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D7C"/>
    <w:pPr>
      <w:spacing w:line="288" w:lineRule="auto"/>
    </w:pPr>
  </w:style>
  <w:style w:type="paragraph" w:styleId="Heading1">
    <w:name w:val="heading 1"/>
    <w:next w:val="BodyText"/>
    <w:link w:val="Heading1Char"/>
    <w:uiPriority w:val="1"/>
    <w:qFormat/>
    <w:rsid w:val="00FB0D37"/>
    <w:pPr>
      <w:keepNext/>
      <w:pageBreakBefore/>
      <w:spacing w:before="480" w:after="280" w:line="276" w:lineRule="auto"/>
      <w:outlineLvl w:val="0"/>
    </w:pPr>
    <w:rPr>
      <w:rFonts w:eastAsia="MS Gothic"/>
      <w:b/>
      <w:bCs/>
      <w:sz w:val="32"/>
      <w:szCs w:val="32"/>
      <w:lang w:eastAsia="en-US"/>
    </w:rPr>
  </w:style>
  <w:style w:type="paragraph" w:styleId="Heading2">
    <w:name w:val="heading 2"/>
    <w:next w:val="BodyText"/>
    <w:link w:val="Heading2Char"/>
    <w:uiPriority w:val="1"/>
    <w:qFormat/>
    <w:rsid w:val="005237E4"/>
    <w:pPr>
      <w:keepNext/>
      <w:spacing w:before="320" w:after="240" w:line="276" w:lineRule="auto"/>
      <w:outlineLvl w:val="1"/>
    </w:pPr>
    <w:rPr>
      <w:rFonts w:eastAsia="MS Gothic"/>
      <w:b/>
      <w:bCs/>
      <w:sz w:val="26"/>
      <w:szCs w:val="26"/>
      <w:lang w:eastAsia="en-US"/>
    </w:rPr>
  </w:style>
  <w:style w:type="paragraph" w:styleId="Heading3">
    <w:name w:val="heading 3"/>
    <w:basedOn w:val="Heading2"/>
    <w:next w:val="BodyText"/>
    <w:link w:val="Heading3Char"/>
    <w:uiPriority w:val="1"/>
    <w:qFormat/>
    <w:rsid w:val="005237E4"/>
    <w:pPr>
      <w:keepLines/>
      <w:numPr>
        <w:ilvl w:val="2"/>
      </w:numPr>
      <w:spacing w:before="280" w:after="200"/>
      <w:outlineLvl w:val="2"/>
    </w:pPr>
    <w:rPr>
      <w:bCs w:val="0"/>
      <w:sz w:val="22"/>
    </w:rPr>
  </w:style>
  <w:style w:type="paragraph" w:styleId="Heading4">
    <w:name w:val="heading 4"/>
    <w:basedOn w:val="Heading3"/>
    <w:next w:val="BodyText"/>
    <w:link w:val="Heading4Char"/>
    <w:uiPriority w:val="1"/>
    <w:qFormat/>
    <w:rsid w:val="005237E4"/>
    <w:pPr>
      <w:numPr>
        <w:ilvl w:val="3"/>
      </w:numPr>
      <w:spacing w:before="200" w:line="240" w:lineRule="auto"/>
      <w:outlineLvl w:val="3"/>
    </w:pPr>
    <w:rPr>
      <w:rFonts w:eastAsia="MS Mincho"/>
      <w:bCs/>
      <w:sz w:val="20"/>
      <w:szCs w:val="28"/>
    </w:rPr>
  </w:style>
  <w:style w:type="paragraph" w:styleId="Heading5">
    <w:name w:val="heading 5"/>
    <w:basedOn w:val="Normal"/>
    <w:next w:val="Normal"/>
    <w:link w:val="Heading5Char"/>
    <w:uiPriority w:val="1"/>
    <w:qFormat/>
    <w:rsid w:val="005237E4"/>
    <w:pPr>
      <w:spacing w:before="240" w:after="60"/>
      <w:outlineLvl w:val="4"/>
    </w:pPr>
    <w:rPr>
      <w:b/>
      <w:bCs/>
      <w:iCs/>
      <w:szCs w:val="26"/>
    </w:rPr>
  </w:style>
  <w:style w:type="paragraph" w:styleId="Heading6">
    <w:name w:val="heading 6"/>
    <w:basedOn w:val="Normal"/>
    <w:next w:val="Normal"/>
    <w:link w:val="Heading6Char"/>
    <w:uiPriority w:val="1"/>
    <w:qFormat/>
    <w:rsid w:val="005237E4"/>
    <w:pPr>
      <w:spacing w:before="240" w:after="60"/>
      <w:outlineLvl w:val="5"/>
    </w:pPr>
    <w:rPr>
      <w:b/>
      <w:bCs/>
      <w:szCs w:val="22"/>
    </w:rPr>
  </w:style>
  <w:style w:type="paragraph" w:styleId="Heading7">
    <w:name w:val="heading 7"/>
    <w:basedOn w:val="Normal"/>
    <w:next w:val="Normal"/>
    <w:link w:val="Heading7Char"/>
    <w:uiPriority w:val="1"/>
    <w:qFormat/>
    <w:rsid w:val="005237E4"/>
    <w:pPr>
      <w:spacing w:before="240" w:after="60"/>
      <w:outlineLvl w:val="6"/>
    </w:pPr>
    <w:rPr>
      <w:b/>
    </w:rPr>
  </w:style>
  <w:style w:type="paragraph" w:styleId="Heading8">
    <w:name w:val="heading 8"/>
    <w:basedOn w:val="Normal"/>
    <w:link w:val="Heading8Char"/>
    <w:uiPriority w:val="1"/>
    <w:semiHidden/>
    <w:qFormat/>
    <w:rsid w:val="00B75A8E"/>
    <w:pPr>
      <w:widowControl w:val="0"/>
      <w:spacing w:line="240" w:lineRule="auto"/>
      <w:ind w:left="114"/>
      <w:outlineLvl w:val="7"/>
    </w:pPr>
    <w:rPr>
      <w:rFonts w:ascii="Calibri" w:eastAsia="Calibri" w:hAnsi="Calibri"/>
      <w:sz w:val="52"/>
      <w:szCs w:val="52"/>
      <w:lang w:val="en-US" w:eastAsia="en-US"/>
    </w:rPr>
  </w:style>
  <w:style w:type="paragraph" w:styleId="Heading9">
    <w:name w:val="heading 9"/>
    <w:basedOn w:val="Normal"/>
    <w:link w:val="Heading9Char"/>
    <w:uiPriority w:val="1"/>
    <w:semiHidden/>
    <w:qFormat/>
    <w:rsid w:val="00B75A8E"/>
    <w:pPr>
      <w:widowControl w:val="0"/>
      <w:spacing w:before="8" w:line="240" w:lineRule="auto"/>
      <w:ind w:left="100"/>
      <w:outlineLvl w:val="8"/>
    </w:pPr>
    <w:rPr>
      <w:rFonts w:ascii="Calibri" w:eastAsia="Calibri" w:hAnsi="Calibri"/>
      <w:b/>
      <w:bCs/>
      <w:sz w:val="50"/>
      <w:szCs w:val="5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C65"/>
    <w:rPr>
      <w:rFonts w:eastAsia="MS Gothic"/>
      <w:b/>
      <w:bCs/>
      <w:sz w:val="32"/>
      <w:szCs w:val="32"/>
      <w:lang w:eastAsia="en-US"/>
    </w:rPr>
  </w:style>
  <w:style w:type="character" w:customStyle="1" w:styleId="Heading2Char">
    <w:name w:val="Heading 2 Char"/>
    <w:link w:val="Heading2"/>
    <w:uiPriority w:val="1"/>
    <w:rsid w:val="005237E4"/>
    <w:rPr>
      <w:rFonts w:eastAsia="MS Gothic"/>
      <w:b/>
      <w:bCs/>
      <w:sz w:val="26"/>
      <w:szCs w:val="26"/>
      <w:lang w:eastAsia="en-US"/>
    </w:rPr>
  </w:style>
  <w:style w:type="character" w:customStyle="1" w:styleId="Heading3Char">
    <w:name w:val="Heading 3 Char"/>
    <w:link w:val="Heading3"/>
    <w:uiPriority w:val="1"/>
    <w:rsid w:val="005237E4"/>
    <w:rPr>
      <w:rFonts w:eastAsia="MS Gothic"/>
      <w:b/>
      <w:sz w:val="22"/>
      <w:szCs w:val="26"/>
      <w:lang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090557"/>
    <w:pPr>
      <w:tabs>
        <w:tab w:val="center" w:pos="4320"/>
        <w:tab w:val="right" w:pos="8640"/>
      </w:tabs>
      <w:spacing w:line="240" w:lineRule="auto"/>
      <w:jc w:val="right"/>
    </w:pPr>
    <w:rPr>
      <w:noProof/>
      <w:sz w:val="18"/>
    </w:rPr>
  </w:style>
  <w:style w:type="character" w:customStyle="1" w:styleId="FooterChar">
    <w:name w:val="Footer Char"/>
    <w:link w:val="Footer"/>
    <w:uiPriority w:val="99"/>
    <w:rsid w:val="00090557"/>
    <w:rPr>
      <w:noProof/>
      <w:sz w:val="18"/>
    </w:rPr>
  </w:style>
  <w:style w:type="table" w:styleId="TableGrid">
    <w:name w:val="Table Grid"/>
    <w:basedOn w:val="TableNormal"/>
    <w:uiPriority w:val="39"/>
    <w:rsid w:val="0086694E"/>
    <w:pPr>
      <w:spacing w:before="50" w:after="50" w:line="252" w:lineRule="auto"/>
    </w:pPr>
    <w:rPr>
      <w:rFonts w:asciiTheme="minorHAnsi" w:eastAsia="Cambria" w:hAnsiTheme="minorHAnsi"/>
      <w:szCs w:val="22"/>
    </w:rPr>
    <w:tblPr>
      <w:tblBorders>
        <w:top w:val="single" w:sz="4" w:space="0" w:color="auto"/>
        <w:bottom w:val="single" w:sz="4" w:space="0" w:color="auto"/>
        <w:insideH w:val="single" w:sz="4" w:space="0" w:color="auto"/>
        <w:insideV w:val="single" w:sz="4" w:space="0" w:color="auto"/>
      </w:tblBorders>
      <w:tblCellMar>
        <w:top w:w="28" w:type="dxa"/>
        <w:left w:w="85" w:type="dxa"/>
        <w:bottom w:w="28" w:type="dxa"/>
        <w:right w:w="85" w:type="dxa"/>
      </w:tblCellMar>
    </w:tblPr>
    <w:tblStylePr w:type="firstRow">
      <w:pPr>
        <w:wordWrap/>
        <w:jc w:val="left"/>
      </w:pPr>
      <w:rPr>
        <w:rFonts w:ascii="Arial" w:hAnsi="Arial"/>
        <w:b/>
      </w:rPr>
      <w:tblPr/>
      <w:tcPr>
        <w:shd w:val="clear" w:color="auto" w:fill="F2F2F2" w:themeFill="background1" w:themeFillShade="F2"/>
      </w:tcPr>
    </w:tblStylePr>
  </w:style>
  <w:style w:type="paragraph" w:styleId="DocumentMap">
    <w:name w:val="Document Map"/>
    <w:basedOn w:val="Normal"/>
    <w:link w:val="DocumentMapChar"/>
    <w:uiPriority w:val="3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rsid w:val="00780976"/>
    <w:pPr>
      <w:spacing w:after="480"/>
      <w:outlineLvl w:val="9"/>
    </w:pPr>
    <w:rPr>
      <w:bCs w:val="0"/>
    </w:rPr>
  </w:style>
  <w:style w:type="paragraph" w:styleId="TOC1">
    <w:name w:val="toc 1"/>
    <w:basedOn w:val="Normal"/>
    <w:next w:val="Normal"/>
    <w:autoRedefine/>
    <w:uiPriority w:val="39"/>
    <w:rsid w:val="002E1755"/>
    <w:pPr>
      <w:tabs>
        <w:tab w:val="left" w:leader="dot" w:pos="567"/>
        <w:tab w:val="right" w:leader="dot" w:pos="9622"/>
      </w:tabs>
      <w:spacing w:before="60" w:after="100" w:line="276" w:lineRule="auto"/>
    </w:pPr>
    <w:rPr>
      <w:rFonts w:ascii="Arial Bold" w:hAnsi="Arial Bold"/>
      <w:noProof/>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uiPriority w:val="99"/>
    <w:qFormat/>
    <w:rsid w:val="00D95D24"/>
    <w:pPr>
      <w:numPr>
        <w:numId w:val="1"/>
      </w:numPr>
      <w:spacing w:before="60" w:after="60"/>
    </w:pPr>
  </w:style>
  <w:style w:type="paragraph" w:styleId="EndnoteText">
    <w:name w:val="endnote text"/>
    <w:basedOn w:val="Normal"/>
    <w:link w:val="EndnoteTextChar"/>
    <w:rsid w:val="00EF11AE"/>
    <w:pPr>
      <w:spacing w:after="40"/>
    </w:pPr>
    <w:rPr>
      <w:sz w:val="16"/>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line="240" w:lineRule="auto"/>
    </w:pPr>
    <w:rPr>
      <w:sz w:val="16"/>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B35991"/>
    <w:pPr>
      <w:numPr>
        <w:numId w:val="3"/>
      </w:numPr>
      <w:tabs>
        <w:tab w:val="left" w:pos="5103"/>
      </w:tabs>
      <w:spacing w:before="200" w:after="200"/>
    </w:pPr>
  </w:style>
  <w:style w:type="paragraph" w:styleId="ListNumber2">
    <w:name w:val="List Number 2"/>
    <w:basedOn w:val="ListNumber"/>
    <w:qFormat/>
    <w:rsid w:val="00B105EF"/>
    <w:pPr>
      <w:numPr>
        <w:ilvl w:val="1"/>
      </w:numPr>
      <w:spacing w:before="0" w:after="0"/>
    </w:pPr>
  </w:style>
  <w:style w:type="paragraph" w:styleId="TableofFigures">
    <w:name w:val="table of figures"/>
    <w:basedOn w:val="Normal"/>
    <w:link w:val="TableofFiguresChar"/>
    <w:uiPriority w:val="99"/>
    <w:rsid w:val="00C70AF0"/>
    <w:pPr>
      <w:tabs>
        <w:tab w:val="left" w:pos="993"/>
        <w:tab w:val="right" w:leader="dot" w:pos="9622"/>
      </w:tabs>
      <w:spacing w:before="60" w:after="80" w:line="240" w:lineRule="auto"/>
      <w:ind w:left="992" w:right="850" w:hanging="992"/>
    </w:pPr>
    <w:rPr>
      <w:noProof/>
      <w:lang w:val="en-US"/>
    </w:rPr>
  </w:style>
  <w:style w:type="numbering" w:customStyle="1" w:styleId="ListBullets">
    <w:name w:val="ListBullets"/>
    <w:uiPriority w:val="99"/>
    <w:rsid w:val="00CA3730"/>
    <w:pPr>
      <w:numPr>
        <w:numId w:val="7"/>
      </w:numPr>
    </w:pPr>
  </w:style>
  <w:style w:type="paragraph" w:styleId="ListBullet2">
    <w:name w:val="List Bullet 2"/>
    <w:basedOn w:val="Normal"/>
    <w:qFormat/>
    <w:rsid w:val="00D95D24"/>
    <w:pPr>
      <w:numPr>
        <w:ilvl w:val="1"/>
        <w:numId w:val="1"/>
      </w:numPr>
      <w:spacing w:before="60" w:after="60"/>
    </w:pPr>
  </w:style>
  <w:style w:type="paragraph" w:styleId="ListParagraph">
    <w:name w:val="List Paragraph"/>
    <w:basedOn w:val="Normal"/>
    <w:uiPriority w:val="1"/>
    <w:qFormat/>
    <w:rsid w:val="0073401D"/>
    <w:pPr>
      <w:contextualSpacing/>
    </w:pPr>
  </w:style>
  <w:style w:type="paragraph" w:styleId="ListBullet3">
    <w:name w:val="List Bullet 3"/>
    <w:basedOn w:val="Normal"/>
    <w:qFormat/>
    <w:rsid w:val="00D95D24"/>
    <w:pPr>
      <w:numPr>
        <w:ilvl w:val="2"/>
        <w:numId w:val="1"/>
      </w:numPr>
      <w:spacing w:before="60" w:after="60"/>
    </w:pPr>
  </w:style>
  <w:style w:type="paragraph" w:styleId="ListBullet4">
    <w:name w:val="List Bullet 4"/>
    <w:basedOn w:val="Normal"/>
    <w:rsid w:val="00D95D24"/>
    <w:pPr>
      <w:numPr>
        <w:ilvl w:val="3"/>
        <w:numId w:val="1"/>
      </w:numPr>
      <w:spacing w:before="60" w:after="60"/>
      <w:ind w:left="1429"/>
    </w:pPr>
  </w:style>
  <w:style w:type="paragraph" w:styleId="ListBullet5">
    <w:name w:val="List Bullet 5"/>
    <w:basedOn w:val="Normal"/>
    <w:rsid w:val="00D95D24"/>
    <w:pPr>
      <w:numPr>
        <w:ilvl w:val="4"/>
        <w:numId w:val="1"/>
      </w:numPr>
      <w:spacing w:before="60" w:after="60"/>
      <w:ind w:left="1786"/>
    </w:pPr>
  </w:style>
  <w:style w:type="paragraph" w:styleId="ListNumber3">
    <w:name w:val="List Number 3"/>
    <w:basedOn w:val="Normal"/>
    <w:qFormat/>
    <w:rsid w:val="00D95D24"/>
    <w:pPr>
      <w:numPr>
        <w:ilvl w:val="2"/>
        <w:numId w:val="3"/>
      </w:numPr>
      <w:spacing w:after="200"/>
    </w:pPr>
  </w:style>
  <w:style w:type="paragraph" w:styleId="ListNumber4">
    <w:name w:val="List Number 4"/>
    <w:basedOn w:val="Normal"/>
    <w:rsid w:val="00D95D24"/>
    <w:pPr>
      <w:numPr>
        <w:ilvl w:val="3"/>
        <w:numId w:val="3"/>
      </w:numPr>
      <w:spacing w:after="200"/>
    </w:pPr>
  </w:style>
  <w:style w:type="numbering" w:customStyle="1" w:styleId="ListNumbers">
    <w:name w:val="ListNumbers"/>
    <w:uiPriority w:val="99"/>
    <w:rsid w:val="00D02C4A"/>
    <w:pPr>
      <w:numPr>
        <w:numId w:val="2"/>
      </w:numPr>
    </w:pPr>
  </w:style>
  <w:style w:type="character" w:customStyle="1" w:styleId="Heading4Char">
    <w:name w:val="Heading 4 Char"/>
    <w:link w:val="Heading4"/>
    <w:uiPriority w:val="1"/>
    <w:rsid w:val="005237E4"/>
    <w:rPr>
      <w:b/>
      <w:bCs/>
      <w:szCs w:val="28"/>
      <w:lang w:eastAsia="en-US"/>
    </w:rPr>
  </w:style>
  <w:style w:type="character" w:customStyle="1" w:styleId="Bold">
    <w:name w:val="Bold"/>
    <w:qFormat/>
    <w:rsid w:val="00B37C65"/>
    <w:rPr>
      <w:rFonts w:ascii="Arial" w:hAnsi="Arial"/>
      <w:b/>
    </w:rPr>
  </w:style>
  <w:style w:type="paragraph" w:styleId="TOC2">
    <w:name w:val="toc 2"/>
    <w:basedOn w:val="Normal"/>
    <w:next w:val="Normal"/>
    <w:autoRedefine/>
    <w:uiPriority w:val="39"/>
    <w:rsid w:val="00FC6283"/>
    <w:pPr>
      <w:keepNext/>
      <w:tabs>
        <w:tab w:val="left" w:pos="851"/>
        <w:tab w:val="right" w:leader="dot" w:pos="9622"/>
      </w:tabs>
      <w:spacing w:after="80" w:line="276" w:lineRule="auto"/>
      <w:ind w:left="284"/>
    </w:pPr>
    <w:rPr>
      <w:color w:val="000000"/>
    </w:rPr>
  </w:style>
  <w:style w:type="paragraph" w:styleId="TOC3">
    <w:name w:val="toc 3"/>
    <w:basedOn w:val="Normal"/>
    <w:next w:val="Normal"/>
    <w:autoRedefine/>
    <w:uiPriority w:val="39"/>
    <w:rsid w:val="00FC6283"/>
    <w:pPr>
      <w:tabs>
        <w:tab w:val="right" w:leader="dot" w:pos="9622"/>
      </w:tabs>
      <w:spacing w:after="60" w:line="276" w:lineRule="auto"/>
      <w:ind w:left="567"/>
    </w:pPr>
    <w:rPr>
      <w:noProof/>
      <w:color w:val="000000"/>
    </w:r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B50A11"/>
    <w:pPr>
      <w:tabs>
        <w:tab w:val="right" w:leader="dot" w:pos="9621"/>
      </w:tabs>
      <w:spacing w:after="120"/>
      <w:ind w:left="850"/>
    </w:pPr>
    <w:rPr>
      <w:noProof/>
      <w:color w:val="000000"/>
    </w:rPr>
  </w:style>
  <w:style w:type="character" w:customStyle="1" w:styleId="Heading5Char">
    <w:name w:val="Heading 5 Char"/>
    <w:link w:val="Heading5"/>
    <w:uiPriority w:val="1"/>
    <w:rsid w:val="005237E4"/>
    <w:rPr>
      <w:b/>
      <w:bCs/>
      <w:iCs/>
      <w:szCs w:val="26"/>
    </w:rPr>
  </w:style>
  <w:style w:type="character" w:customStyle="1" w:styleId="Heading6Char">
    <w:name w:val="Heading 6 Char"/>
    <w:link w:val="Heading6"/>
    <w:uiPriority w:val="1"/>
    <w:rsid w:val="005237E4"/>
    <w:rPr>
      <w:b/>
      <w:bCs/>
      <w:szCs w:val="22"/>
    </w:rPr>
  </w:style>
  <w:style w:type="character" w:customStyle="1" w:styleId="Heading7Char">
    <w:name w:val="Heading 7 Char"/>
    <w:link w:val="Heading7"/>
    <w:uiPriority w:val="1"/>
    <w:rsid w:val="005237E4"/>
    <w:rPr>
      <w:b/>
    </w:rPr>
  </w:style>
  <w:style w:type="paragraph" w:styleId="TOC5">
    <w:name w:val="toc 5"/>
    <w:basedOn w:val="Normal"/>
    <w:next w:val="Normal"/>
    <w:autoRedefine/>
    <w:uiPriority w:val="39"/>
    <w:rsid w:val="00B50A11"/>
    <w:pPr>
      <w:tabs>
        <w:tab w:val="right" w:leader="dot" w:pos="9621"/>
      </w:tabs>
      <w:spacing w:after="120"/>
      <w:ind w:left="1134"/>
    </w:pPr>
    <w:rPr>
      <w:noProof/>
      <w:color w:val="000000"/>
    </w:rPr>
  </w:style>
  <w:style w:type="paragraph" w:customStyle="1" w:styleId="PullBoxNumber">
    <w:name w:val="Pull Box Number"/>
    <w:basedOn w:val="PullBox"/>
    <w:qFormat/>
    <w:rsid w:val="00D92782"/>
    <w:pPr>
      <w:numPr>
        <w:ilvl w:val="6"/>
        <w:numId w:val="4"/>
      </w:numPr>
      <w:spacing w:after="120"/>
      <w:ind w:left="530"/>
    </w:pPr>
  </w:style>
  <w:style w:type="paragraph" w:styleId="Caption">
    <w:name w:val="caption"/>
    <w:basedOn w:val="Normal"/>
    <w:next w:val="Normal"/>
    <w:qFormat/>
    <w:rsid w:val="00D029CA"/>
    <w:pPr>
      <w:keepNext/>
      <w:tabs>
        <w:tab w:val="left" w:pos="993"/>
      </w:tabs>
      <w:spacing w:before="240" w:after="120" w:line="240" w:lineRule="auto"/>
      <w:ind w:left="993" w:hanging="993"/>
    </w:pPr>
    <w:rPr>
      <w:rFonts w:ascii="Arial Bold" w:hAnsi="Arial Bold"/>
      <w:bCs/>
      <w:sz w:val="18"/>
      <w:szCs w:val="18"/>
    </w:rPr>
  </w:style>
  <w:style w:type="paragraph" w:styleId="BodyText">
    <w:name w:val="Body Text"/>
    <w:basedOn w:val="Normal"/>
    <w:link w:val="BodyTextChar"/>
    <w:uiPriority w:val="1"/>
    <w:qFormat/>
    <w:rsid w:val="007A174B"/>
    <w:pPr>
      <w:spacing w:before="200" w:after="200"/>
    </w:pPr>
    <w:rPr>
      <w:rFonts w:eastAsia="Cambria"/>
    </w:rPr>
  </w:style>
  <w:style w:type="character" w:customStyle="1" w:styleId="BodyTextChar">
    <w:name w:val="Body Text Char"/>
    <w:link w:val="BodyText"/>
    <w:rsid w:val="00813624"/>
    <w:rPr>
      <w:rFonts w:eastAsia="Cambria"/>
    </w:rPr>
  </w:style>
  <w:style w:type="character" w:customStyle="1" w:styleId="TableofFiguresChar">
    <w:name w:val="Table of Figures Char"/>
    <w:link w:val="TableofFigures"/>
    <w:uiPriority w:val="99"/>
    <w:rsid w:val="00C70AF0"/>
    <w:rPr>
      <w:noProof/>
      <w:lang w:val="en-US"/>
    </w:rPr>
  </w:style>
  <w:style w:type="character" w:styleId="FollowedHyperlink">
    <w:name w:val="FollowedHyperlink"/>
    <w:uiPriority w:val="99"/>
    <w:semiHidden/>
    <w:unhideWhenUsed/>
    <w:rsid w:val="00BB72AB"/>
    <w:rPr>
      <w:color w:val="800080"/>
      <w:u w:val="single"/>
    </w:rPr>
  </w:style>
  <w:style w:type="paragraph" w:styleId="Title">
    <w:name w:val="Title"/>
    <w:basedOn w:val="Normal"/>
    <w:next w:val="Normal"/>
    <w:link w:val="TitleChar"/>
    <w:uiPriority w:val="99"/>
    <w:rsid w:val="001261B4"/>
    <w:pPr>
      <w:spacing w:line="240" w:lineRule="auto"/>
      <w:contextualSpacing/>
    </w:pPr>
    <w:rPr>
      <w:rFonts w:eastAsia="MS PGothic"/>
      <w:b/>
      <w:sz w:val="52"/>
      <w:szCs w:val="56"/>
    </w:rPr>
  </w:style>
  <w:style w:type="character" w:customStyle="1" w:styleId="TitleChar">
    <w:name w:val="Title Char"/>
    <w:link w:val="Title"/>
    <w:uiPriority w:val="99"/>
    <w:rsid w:val="001261B4"/>
    <w:rPr>
      <w:rFonts w:eastAsia="MS PGothic"/>
      <w:b/>
      <w:sz w:val="52"/>
      <w:szCs w:val="56"/>
      <w:lang w:val="en-AU" w:eastAsia="en-AU"/>
    </w:rPr>
  </w:style>
  <w:style w:type="paragraph" w:customStyle="1" w:styleId="PullBox">
    <w:name w:val="Pull Box"/>
    <w:basedOn w:val="BodyText"/>
    <w:qFormat/>
    <w:rsid w:val="00D92782"/>
    <w:pPr>
      <w:pBdr>
        <w:top w:val="single" w:sz="4" w:space="10" w:color="auto"/>
        <w:left w:val="single" w:sz="4" w:space="8" w:color="auto"/>
        <w:bottom w:val="single" w:sz="4" w:space="10" w:color="auto"/>
        <w:right w:val="single" w:sz="4" w:space="8" w:color="auto"/>
      </w:pBdr>
      <w:ind w:left="170" w:right="170"/>
    </w:pPr>
    <w:rPr>
      <w:lang w:eastAsia="en-US"/>
    </w:rPr>
  </w:style>
  <w:style w:type="paragraph" w:customStyle="1" w:styleId="PullBoxBullet">
    <w:name w:val="Pull Box Bullet"/>
    <w:basedOn w:val="PullBox"/>
    <w:qFormat/>
    <w:rsid w:val="00D623CB"/>
    <w:pPr>
      <w:numPr>
        <w:numId w:val="5"/>
      </w:numPr>
      <w:spacing w:before="0" w:after="60"/>
      <w:ind w:left="527" w:hanging="357"/>
    </w:pPr>
  </w:style>
  <w:style w:type="paragraph" w:customStyle="1" w:styleId="PullBoxHeading">
    <w:name w:val="Pull Box Heading"/>
    <w:basedOn w:val="PullBox"/>
    <w:qFormat/>
    <w:rsid w:val="001261B4"/>
    <w:pPr>
      <w:spacing w:after="80"/>
    </w:pPr>
    <w:rPr>
      <w:b/>
    </w:rPr>
  </w:style>
  <w:style w:type="paragraph" w:styleId="Quote">
    <w:name w:val="Quote"/>
    <w:basedOn w:val="Normal"/>
    <w:next w:val="Normal"/>
    <w:link w:val="QuoteChar"/>
    <w:rsid w:val="00D92782"/>
    <w:pPr>
      <w:spacing w:before="200" w:after="200"/>
      <w:ind w:left="340" w:right="340"/>
    </w:pPr>
    <w:rPr>
      <w:i/>
      <w:iCs/>
    </w:rPr>
  </w:style>
  <w:style w:type="character" w:customStyle="1" w:styleId="QuoteChar">
    <w:name w:val="Quote Char"/>
    <w:link w:val="Quote"/>
    <w:rsid w:val="00D92782"/>
    <w:rPr>
      <w:rFonts w:ascii="Arial" w:hAnsi="Arial"/>
      <w:i/>
      <w:iCs/>
    </w:rPr>
  </w:style>
  <w:style w:type="paragraph" w:customStyle="1" w:styleId="TableBullet">
    <w:name w:val="Table Bullet"/>
    <w:basedOn w:val="TableBodyText"/>
    <w:qFormat/>
    <w:rsid w:val="00487D7C"/>
    <w:pPr>
      <w:numPr>
        <w:numId w:val="6"/>
      </w:numPr>
    </w:pPr>
    <w:rPr>
      <w:lang w:eastAsia="en-US"/>
    </w:rPr>
  </w:style>
  <w:style w:type="paragraph" w:customStyle="1" w:styleId="TableBullet2">
    <w:name w:val="Table Bullet 2"/>
    <w:basedOn w:val="TableBullet"/>
    <w:qFormat/>
    <w:rsid w:val="00D92782"/>
    <w:pPr>
      <w:numPr>
        <w:ilvl w:val="1"/>
      </w:numPr>
    </w:pPr>
  </w:style>
  <w:style w:type="paragraph" w:customStyle="1" w:styleId="TableBodyText">
    <w:name w:val="Table Body Text"/>
    <w:basedOn w:val="Normal"/>
    <w:link w:val="TableBodyTextChar"/>
    <w:uiPriority w:val="14"/>
    <w:qFormat/>
    <w:rsid w:val="0086694E"/>
    <w:pPr>
      <w:spacing w:before="50" w:after="50" w:line="252" w:lineRule="auto"/>
    </w:pPr>
    <w:rPr>
      <w:rFonts w:eastAsia="Cambria"/>
      <w:szCs w:val="22"/>
    </w:rPr>
  </w:style>
  <w:style w:type="table" w:styleId="PlainTable4">
    <w:name w:val="Plain Table 4"/>
    <w:basedOn w:val="TableNormal"/>
    <w:uiPriority w:val="44"/>
    <w:rsid w:val="006467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6467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rsid w:val="00CF5685"/>
    <w:pPr>
      <w:numPr>
        <w:ilvl w:val="1"/>
      </w:numPr>
      <w:spacing w:before="240" w:after="120" w:line="240" w:lineRule="auto"/>
    </w:pPr>
    <w:rPr>
      <w:rFonts w:eastAsia="MS PGothic"/>
      <w:sz w:val="40"/>
      <w:szCs w:val="22"/>
    </w:rPr>
  </w:style>
  <w:style w:type="character" w:customStyle="1" w:styleId="SubtitleChar">
    <w:name w:val="Subtitle Char"/>
    <w:link w:val="Subtitle"/>
    <w:rsid w:val="00CF5685"/>
    <w:rPr>
      <w:rFonts w:eastAsia="MS PGothic"/>
      <w:sz w:val="40"/>
      <w:szCs w:val="22"/>
    </w:rPr>
  </w:style>
  <w:style w:type="character" w:styleId="CommentReference">
    <w:name w:val="annotation reference"/>
    <w:uiPriority w:val="39"/>
    <w:semiHidden/>
    <w:unhideWhenUsed/>
    <w:rsid w:val="00EF6990"/>
    <w:rPr>
      <w:sz w:val="16"/>
      <w:szCs w:val="16"/>
    </w:rPr>
  </w:style>
  <w:style w:type="paragraph" w:styleId="CommentText">
    <w:name w:val="annotation text"/>
    <w:basedOn w:val="Normal"/>
    <w:link w:val="CommentTextChar"/>
    <w:uiPriority w:val="39"/>
    <w:semiHidden/>
    <w:unhideWhenUsed/>
    <w:rsid w:val="00EF6990"/>
    <w:pPr>
      <w:spacing w:line="240" w:lineRule="auto"/>
    </w:pPr>
  </w:style>
  <w:style w:type="character" w:customStyle="1" w:styleId="CommentTextChar">
    <w:name w:val="Comment Text Char"/>
    <w:basedOn w:val="DefaultParagraphFont"/>
    <w:link w:val="CommentText"/>
    <w:semiHidden/>
    <w:rsid w:val="00EF6990"/>
  </w:style>
  <w:style w:type="paragraph" w:styleId="CommentSubject">
    <w:name w:val="annotation subject"/>
    <w:basedOn w:val="CommentText"/>
    <w:next w:val="CommentText"/>
    <w:link w:val="CommentSubjectChar"/>
    <w:uiPriority w:val="39"/>
    <w:semiHidden/>
    <w:unhideWhenUsed/>
    <w:rsid w:val="00EF6990"/>
    <w:rPr>
      <w:b/>
      <w:bCs/>
    </w:rPr>
  </w:style>
  <w:style w:type="character" w:customStyle="1" w:styleId="CommentSubjectChar">
    <w:name w:val="Comment Subject Char"/>
    <w:link w:val="CommentSubject"/>
    <w:semiHidden/>
    <w:rsid w:val="00EF6990"/>
    <w:rPr>
      <w:b/>
      <w:bCs/>
    </w:rPr>
  </w:style>
  <w:style w:type="character" w:customStyle="1" w:styleId="TableBodyTextChar">
    <w:name w:val="Table Body Text Char"/>
    <w:link w:val="TableBodyText"/>
    <w:uiPriority w:val="14"/>
    <w:rsid w:val="0086694E"/>
    <w:rPr>
      <w:rFonts w:eastAsia="Cambria"/>
      <w:szCs w:val="22"/>
    </w:rPr>
  </w:style>
  <w:style w:type="paragraph" w:styleId="TOC6">
    <w:name w:val="toc 6"/>
    <w:basedOn w:val="Normal"/>
    <w:next w:val="Normal"/>
    <w:autoRedefine/>
    <w:uiPriority w:val="39"/>
    <w:unhideWhenUsed/>
    <w:rsid w:val="00B50A11"/>
    <w:pPr>
      <w:tabs>
        <w:tab w:val="right" w:leader="dot" w:pos="9621"/>
      </w:tabs>
      <w:spacing w:after="100" w:line="259" w:lineRule="auto"/>
      <w:ind w:left="1417"/>
    </w:pPr>
    <w:rPr>
      <w:rFonts w:eastAsia="MS PGothic"/>
      <w:noProof/>
      <w:color w:val="000000"/>
      <w:sz w:val="18"/>
      <w:szCs w:val="18"/>
    </w:rPr>
  </w:style>
  <w:style w:type="paragraph" w:styleId="TOC7">
    <w:name w:val="toc 7"/>
    <w:basedOn w:val="Normal"/>
    <w:next w:val="Normal"/>
    <w:autoRedefine/>
    <w:uiPriority w:val="39"/>
    <w:unhideWhenUsed/>
    <w:rsid w:val="00B50A11"/>
    <w:pPr>
      <w:spacing w:after="100" w:line="259" w:lineRule="auto"/>
      <w:ind w:left="1320"/>
    </w:pPr>
    <w:rPr>
      <w:rFonts w:eastAsia="MS PGothic"/>
      <w:color w:val="000000"/>
      <w:sz w:val="22"/>
      <w:szCs w:val="22"/>
    </w:rPr>
  </w:style>
  <w:style w:type="paragraph" w:styleId="TOC8">
    <w:name w:val="toc 8"/>
    <w:basedOn w:val="Normal"/>
    <w:next w:val="Normal"/>
    <w:autoRedefine/>
    <w:uiPriority w:val="39"/>
    <w:unhideWhenUsed/>
    <w:rsid w:val="005E078B"/>
    <w:pPr>
      <w:spacing w:after="100" w:line="259" w:lineRule="auto"/>
      <w:ind w:left="1540"/>
    </w:pPr>
    <w:rPr>
      <w:rFonts w:eastAsia="MS PGothic"/>
      <w:sz w:val="22"/>
      <w:szCs w:val="22"/>
    </w:rPr>
  </w:style>
  <w:style w:type="paragraph" w:styleId="TOC9">
    <w:name w:val="toc 9"/>
    <w:basedOn w:val="Normal"/>
    <w:next w:val="Normal"/>
    <w:autoRedefine/>
    <w:uiPriority w:val="39"/>
    <w:unhideWhenUsed/>
    <w:rsid w:val="005E078B"/>
    <w:pPr>
      <w:spacing w:after="100" w:line="259" w:lineRule="auto"/>
      <w:ind w:left="1760"/>
    </w:pPr>
    <w:rPr>
      <w:rFonts w:eastAsia="MS PGothic"/>
      <w:sz w:val="22"/>
      <w:szCs w:val="22"/>
    </w:rPr>
  </w:style>
  <w:style w:type="paragraph" w:customStyle="1" w:styleId="GreyBox">
    <w:name w:val="Grey Box"/>
    <w:basedOn w:val="PullBox"/>
    <w:qFormat/>
    <w:rsid w:val="00A2352F"/>
    <w:pPr>
      <w:pBdr>
        <w:top w:val="single" w:sz="4" w:space="4" w:color="F2F2F2"/>
        <w:left w:val="single" w:sz="4" w:space="4" w:color="F2F2F2"/>
        <w:bottom w:val="single" w:sz="4" w:space="4" w:color="F2F2F2"/>
        <w:right w:val="single" w:sz="4" w:space="4" w:color="F2F2F2"/>
      </w:pBdr>
      <w:shd w:val="clear" w:color="auto" w:fill="F2F2F2"/>
      <w:ind w:left="57"/>
    </w:pPr>
  </w:style>
  <w:style w:type="paragraph" w:styleId="NoSpacing">
    <w:name w:val="No Spacing"/>
    <w:qFormat/>
    <w:rsid w:val="005F1419"/>
  </w:style>
  <w:style w:type="paragraph" w:customStyle="1" w:styleId="HangingIndent">
    <w:name w:val="Hanging Indent"/>
    <w:basedOn w:val="Normal"/>
    <w:qFormat/>
    <w:rsid w:val="00B33930"/>
    <w:pPr>
      <w:tabs>
        <w:tab w:val="left" w:pos="284"/>
      </w:tabs>
      <w:ind w:left="284" w:hanging="284"/>
    </w:pPr>
    <w:rPr>
      <w:rFonts w:eastAsia="Cambria"/>
      <w:szCs w:val="22"/>
    </w:rPr>
  </w:style>
  <w:style w:type="paragraph" w:styleId="ListContinue">
    <w:name w:val="List Continue"/>
    <w:basedOn w:val="Normal"/>
    <w:rsid w:val="008A45D4"/>
    <w:pPr>
      <w:spacing w:after="120"/>
      <w:ind w:left="340"/>
    </w:pPr>
  </w:style>
  <w:style w:type="paragraph" w:styleId="Index1">
    <w:name w:val="index 1"/>
    <w:basedOn w:val="Normal"/>
    <w:next w:val="Normal"/>
    <w:autoRedefine/>
    <w:uiPriority w:val="99"/>
    <w:semiHidden/>
    <w:unhideWhenUsed/>
    <w:rsid w:val="00B45345"/>
    <w:pPr>
      <w:spacing w:line="240" w:lineRule="auto"/>
      <w:ind w:left="200" w:hanging="200"/>
    </w:pPr>
  </w:style>
  <w:style w:type="table" w:styleId="PlainTable2">
    <w:name w:val="Plain Table 2"/>
    <w:basedOn w:val="TableNormal"/>
    <w:uiPriority w:val="42"/>
    <w:rsid w:val="002269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
    <w:name w:val="Heading 8 Char"/>
    <w:link w:val="Heading8"/>
    <w:uiPriority w:val="1"/>
    <w:semiHidden/>
    <w:rsid w:val="00487D7C"/>
    <w:rPr>
      <w:rFonts w:ascii="Calibri" w:eastAsia="Calibri" w:hAnsi="Calibri"/>
      <w:sz w:val="52"/>
      <w:szCs w:val="52"/>
      <w:lang w:val="en-US" w:eastAsia="en-US"/>
    </w:rPr>
  </w:style>
  <w:style w:type="character" w:customStyle="1" w:styleId="Heading9Char">
    <w:name w:val="Heading 9 Char"/>
    <w:link w:val="Heading9"/>
    <w:uiPriority w:val="1"/>
    <w:semiHidden/>
    <w:rsid w:val="00487D7C"/>
    <w:rPr>
      <w:rFonts w:ascii="Calibri" w:eastAsia="Calibri" w:hAnsi="Calibri"/>
      <w:b/>
      <w:bCs/>
      <w:sz w:val="50"/>
      <w:szCs w:val="50"/>
      <w:lang w:val="en-US" w:eastAsia="en-US"/>
    </w:rPr>
  </w:style>
  <w:style w:type="character" w:customStyle="1" w:styleId="HyperlinkFaux">
    <w:name w:val="Hyperlink Faux"/>
    <w:uiPriority w:val="1"/>
    <w:rsid w:val="00314038"/>
    <w:rPr>
      <w:rFonts w:eastAsia="Cambria"/>
      <w:color w:val="0000FF"/>
      <w:sz w:val="18"/>
      <w:szCs w:val="22"/>
      <w:u w:val="single"/>
    </w:rPr>
  </w:style>
  <w:style w:type="character" w:customStyle="1" w:styleId="UnresolvedMention1">
    <w:name w:val="Unresolved Mention1"/>
    <w:uiPriority w:val="99"/>
    <w:semiHidden/>
    <w:unhideWhenUsed/>
    <w:rsid w:val="0020600A"/>
    <w:rPr>
      <w:color w:val="605E5C"/>
      <w:shd w:val="clear" w:color="auto" w:fill="E1DFDD"/>
    </w:rPr>
  </w:style>
  <w:style w:type="table" w:styleId="TableProfessional">
    <w:name w:val="Table Professional"/>
    <w:basedOn w:val="TableNormal"/>
    <w:rsid w:val="0086694E"/>
    <w:pPr>
      <w:spacing w:before="20" w:after="20" w:line="247" w:lineRule="auto"/>
    </w:pPr>
    <w:rPr>
      <w:sz w:val="18"/>
    </w:rPr>
    <w:tblPr>
      <w:tblBorders>
        <w:top w:val="single" w:sz="6" w:space="0" w:color="000000"/>
        <w:bottom w:val="single" w:sz="6" w:space="0" w:color="000000"/>
        <w:insideH w:val="single" w:sz="6" w:space="0" w:color="000000"/>
      </w:tblBorders>
      <w:tblCellMar>
        <w:top w:w="45" w:type="dxa"/>
        <w:bottom w:w="28" w:type="dxa"/>
      </w:tblCellMar>
    </w:tblPr>
    <w:tcPr>
      <w:shd w:val="clear" w:color="auto" w:fill="auto"/>
    </w:tcPr>
    <w:tblStylePr w:type="firstRow">
      <w:rPr>
        <w:b/>
        <w:bCs/>
        <w:color w:val="auto"/>
      </w:rPr>
      <w:tblPr/>
      <w:trPr>
        <w:tblHeader/>
      </w:trPr>
      <w:tcPr>
        <w:shd w:val="clear" w:color="auto" w:fill="F2F2F2" w:themeFill="background1" w:themeFillShade="F2"/>
      </w:tcPr>
    </w:tblStylePr>
  </w:style>
  <w:style w:type="paragraph" w:customStyle="1" w:styleId="TableBodyTextBold">
    <w:name w:val="Table Body Text Bold"/>
    <w:basedOn w:val="TableBodyText"/>
    <w:qFormat/>
    <w:rsid w:val="00313EF1"/>
    <w:rPr>
      <w:rFonts w:ascii="Arial Bold" w:hAnsi="Arial Bold"/>
      <w:sz w:val="18"/>
    </w:rPr>
  </w:style>
  <w:style w:type="paragraph" w:styleId="ListContinue2">
    <w:name w:val="List Continue 2"/>
    <w:basedOn w:val="Normal"/>
    <w:rsid w:val="0004697A"/>
    <w:pPr>
      <w:spacing w:before="120" w:after="120"/>
      <w:ind w:left="714"/>
    </w:pPr>
  </w:style>
  <w:style w:type="paragraph" w:customStyle="1" w:styleId="BodyTextBold">
    <w:name w:val="Body Text Bold"/>
    <w:basedOn w:val="BodyText"/>
    <w:qFormat/>
    <w:rsid w:val="00C37C66"/>
    <w:rPr>
      <w:b/>
    </w:rPr>
  </w:style>
  <w:style w:type="character" w:customStyle="1" w:styleId="UnresolvedMention2">
    <w:name w:val="Unresolved Mention2"/>
    <w:basedOn w:val="DefaultParagraphFont"/>
    <w:uiPriority w:val="99"/>
    <w:semiHidden/>
    <w:unhideWhenUsed/>
    <w:rsid w:val="00147B6A"/>
    <w:rPr>
      <w:color w:val="605E5C"/>
      <w:shd w:val="clear" w:color="auto" w:fill="E1DFDD"/>
    </w:rPr>
  </w:style>
  <w:style w:type="character" w:customStyle="1" w:styleId="ItalicText">
    <w:name w:val="Italic Text"/>
    <w:basedOn w:val="DefaultParagraphFont"/>
    <w:uiPriority w:val="1"/>
    <w:qFormat/>
    <w:rsid w:val="00257C0E"/>
    <w:rPr>
      <w:i/>
    </w:rPr>
  </w:style>
  <w:style w:type="paragraph" w:customStyle="1" w:styleId="PullBoxBullet2">
    <w:name w:val="Pull Box Bullet 2"/>
    <w:basedOn w:val="PullBoxBullet"/>
    <w:qFormat/>
    <w:rsid w:val="00200513"/>
  </w:style>
  <w:style w:type="character" w:styleId="PlaceholderText">
    <w:name w:val="Placeholder Text"/>
    <w:basedOn w:val="DefaultParagraphFont"/>
    <w:semiHidden/>
    <w:rsid w:val="00FB0D37"/>
    <w:rPr>
      <w:color w:val="808080"/>
    </w:rPr>
  </w:style>
  <w:style w:type="paragraph" w:styleId="PlainText">
    <w:name w:val="Plain Text"/>
    <w:basedOn w:val="Normal"/>
    <w:link w:val="PlainTextChar"/>
    <w:uiPriority w:val="39"/>
    <w:semiHidden/>
    <w:unhideWhenUsed/>
    <w:rsid w:val="007F4791"/>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39"/>
    <w:semiHidden/>
    <w:rsid w:val="007F4791"/>
    <w:rPr>
      <w:rFonts w:ascii="Consolas" w:hAnsi="Consolas" w:cs="Consolas"/>
      <w:sz w:val="21"/>
      <w:szCs w:val="21"/>
    </w:rPr>
  </w:style>
  <w:style w:type="character" w:styleId="UnresolvedMention">
    <w:name w:val="Unresolved Mention"/>
    <w:basedOn w:val="DefaultParagraphFont"/>
    <w:uiPriority w:val="99"/>
    <w:semiHidden/>
    <w:unhideWhenUsed/>
    <w:rsid w:val="00E97A23"/>
    <w:rPr>
      <w:color w:val="605E5C"/>
      <w:shd w:val="clear" w:color="auto" w:fill="E1DFDD"/>
    </w:rPr>
  </w:style>
  <w:style w:type="paragraph" w:styleId="Revision">
    <w:name w:val="Revision"/>
    <w:hidden/>
    <w:semiHidden/>
    <w:rsid w:val="003A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2">
      <w:bodyDiv w:val="1"/>
      <w:marLeft w:val="0"/>
      <w:marRight w:val="0"/>
      <w:marTop w:val="0"/>
      <w:marBottom w:val="0"/>
      <w:divBdr>
        <w:top w:val="none" w:sz="0" w:space="0" w:color="auto"/>
        <w:left w:val="none" w:sz="0" w:space="0" w:color="auto"/>
        <w:bottom w:val="none" w:sz="0" w:space="0" w:color="auto"/>
        <w:right w:val="none" w:sz="0" w:space="0" w:color="auto"/>
      </w:divBdr>
    </w:div>
    <w:div w:id="235895459">
      <w:bodyDiv w:val="1"/>
      <w:marLeft w:val="0"/>
      <w:marRight w:val="0"/>
      <w:marTop w:val="0"/>
      <w:marBottom w:val="0"/>
      <w:divBdr>
        <w:top w:val="none" w:sz="0" w:space="0" w:color="auto"/>
        <w:left w:val="none" w:sz="0" w:space="0" w:color="auto"/>
        <w:bottom w:val="none" w:sz="0" w:space="0" w:color="auto"/>
        <w:right w:val="none" w:sz="0" w:space="0" w:color="auto"/>
      </w:divBdr>
    </w:div>
    <w:div w:id="405306399">
      <w:bodyDiv w:val="1"/>
      <w:marLeft w:val="0"/>
      <w:marRight w:val="0"/>
      <w:marTop w:val="0"/>
      <w:marBottom w:val="0"/>
      <w:divBdr>
        <w:top w:val="none" w:sz="0" w:space="0" w:color="auto"/>
        <w:left w:val="none" w:sz="0" w:space="0" w:color="auto"/>
        <w:bottom w:val="none" w:sz="0" w:space="0" w:color="auto"/>
        <w:right w:val="none" w:sz="0" w:space="0" w:color="auto"/>
      </w:divBdr>
    </w:div>
    <w:div w:id="632567090">
      <w:bodyDiv w:val="1"/>
      <w:marLeft w:val="0"/>
      <w:marRight w:val="0"/>
      <w:marTop w:val="0"/>
      <w:marBottom w:val="0"/>
      <w:divBdr>
        <w:top w:val="none" w:sz="0" w:space="0" w:color="auto"/>
        <w:left w:val="none" w:sz="0" w:space="0" w:color="auto"/>
        <w:bottom w:val="none" w:sz="0" w:space="0" w:color="auto"/>
        <w:right w:val="none" w:sz="0" w:space="0" w:color="auto"/>
      </w:divBdr>
    </w:div>
    <w:div w:id="815685029">
      <w:bodyDiv w:val="1"/>
      <w:marLeft w:val="0"/>
      <w:marRight w:val="0"/>
      <w:marTop w:val="0"/>
      <w:marBottom w:val="0"/>
      <w:divBdr>
        <w:top w:val="none" w:sz="0" w:space="0" w:color="auto"/>
        <w:left w:val="none" w:sz="0" w:space="0" w:color="auto"/>
        <w:bottom w:val="none" w:sz="0" w:space="0" w:color="auto"/>
        <w:right w:val="none" w:sz="0" w:space="0" w:color="auto"/>
      </w:divBdr>
    </w:div>
    <w:div w:id="849880549">
      <w:bodyDiv w:val="1"/>
      <w:marLeft w:val="0"/>
      <w:marRight w:val="0"/>
      <w:marTop w:val="0"/>
      <w:marBottom w:val="0"/>
      <w:divBdr>
        <w:top w:val="none" w:sz="0" w:space="0" w:color="auto"/>
        <w:left w:val="none" w:sz="0" w:space="0" w:color="auto"/>
        <w:bottom w:val="none" w:sz="0" w:space="0" w:color="auto"/>
        <w:right w:val="none" w:sz="0" w:space="0" w:color="auto"/>
      </w:divBdr>
    </w:div>
    <w:div w:id="892161220">
      <w:bodyDiv w:val="1"/>
      <w:marLeft w:val="0"/>
      <w:marRight w:val="0"/>
      <w:marTop w:val="0"/>
      <w:marBottom w:val="0"/>
      <w:divBdr>
        <w:top w:val="none" w:sz="0" w:space="0" w:color="auto"/>
        <w:left w:val="none" w:sz="0" w:space="0" w:color="auto"/>
        <w:bottom w:val="none" w:sz="0" w:space="0" w:color="auto"/>
        <w:right w:val="none" w:sz="0" w:space="0" w:color="auto"/>
      </w:divBdr>
    </w:div>
    <w:div w:id="953751576">
      <w:bodyDiv w:val="1"/>
      <w:marLeft w:val="0"/>
      <w:marRight w:val="0"/>
      <w:marTop w:val="0"/>
      <w:marBottom w:val="0"/>
      <w:divBdr>
        <w:top w:val="none" w:sz="0" w:space="0" w:color="auto"/>
        <w:left w:val="none" w:sz="0" w:space="0" w:color="auto"/>
        <w:bottom w:val="none" w:sz="0" w:space="0" w:color="auto"/>
        <w:right w:val="none" w:sz="0" w:space="0" w:color="auto"/>
      </w:divBdr>
    </w:div>
    <w:div w:id="953903177">
      <w:bodyDiv w:val="1"/>
      <w:marLeft w:val="0"/>
      <w:marRight w:val="0"/>
      <w:marTop w:val="0"/>
      <w:marBottom w:val="0"/>
      <w:divBdr>
        <w:top w:val="none" w:sz="0" w:space="0" w:color="auto"/>
        <w:left w:val="none" w:sz="0" w:space="0" w:color="auto"/>
        <w:bottom w:val="none" w:sz="0" w:space="0" w:color="auto"/>
        <w:right w:val="none" w:sz="0" w:space="0" w:color="auto"/>
      </w:divBdr>
    </w:div>
    <w:div w:id="1259563876">
      <w:bodyDiv w:val="1"/>
      <w:marLeft w:val="0"/>
      <w:marRight w:val="0"/>
      <w:marTop w:val="0"/>
      <w:marBottom w:val="0"/>
      <w:divBdr>
        <w:top w:val="none" w:sz="0" w:space="0" w:color="auto"/>
        <w:left w:val="none" w:sz="0" w:space="0" w:color="auto"/>
        <w:bottom w:val="none" w:sz="0" w:space="0" w:color="auto"/>
        <w:right w:val="none" w:sz="0" w:space="0" w:color="auto"/>
      </w:divBdr>
    </w:div>
    <w:div w:id="1272786477">
      <w:bodyDiv w:val="1"/>
      <w:marLeft w:val="0"/>
      <w:marRight w:val="0"/>
      <w:marTop w:val="0"/>
      <w:marBottom w:val="0"/>
      <w:divBdr>
        <w:top w:val="none" w:sz="0" w:space="0" w:color="auto"/>
        <w:left w:val="none" w:sz="0" w:space="0" w:color="auto"/>
        <w:bottom w:val="none" w:sz="0" w:space="0" w:color="auto"/>
        <w:right w:val="none" w:sz="0" w:space="0" w:color="auto"/>
      </w:divBdr>
    </w:div>
    <w:div w:id="1355424792">
      <w:bodyDiv w:val="1"/>
      <w:marLeft w:val="0"/>
      <w:marRight w:val="0"/>
      <w:marTop w:val="0"/>
      <w:marBottom w:val="0"/>
      <w:divBdr>
        <w:top w:val="none" w:sz="0" w:space="0" w:color="auto"/>
        <w:left w:val="none" w:sz="0" w:space="0" w:color="auto"/>
        <w:bottom w:val="none" w:sz="0" w:space="0" w:color="auto"/>
        <w:right w:val="none" w:sz="0" w:space="0" w:color="auto"/>
      </w:divBdr>
    </w:div>
    <w:div w:id="1479759346">
      <w:bodyDiv w:val="1"/>
      <w:marLeft w:val="0"/>
      <w:marRight w:val="0"/>
      <w:marTop w:val="0"/>
      <w:marBottom w:val="0"/>
      <w:divBdr>
        <w:top w:val="none" w:sz="0" w:space="0" w:color="auto"/>
        <w:left w:val="none" w:sz="0" w:space="0" w:color="auto"/>
        <w:bottom w:val="none" w:sz="0" w:space="0" w:color="auto"/>
        <w:right w:val="none" w:sz="0" w:space="0" w:color="auto"/>
      </w:divBdr>
    </w:div>
    <w:div w:id="1683970831">
      <w:bodyDiv w:val="1"/>
      <w:marLeft w:val="0"/>
      <w:marRight w:val="0"/>
      <w:marTop w:val="0"/>
      <w:marBottom w:val="0"/>
      <w:divBdr>
        <w:top w:val="none" w:sz="0" w:space="0" w:color="auto"/>
        <w:left w:val="none" w:sz="0" w:space="0" w:color="auto"/>
        <w:bottom w:val="none" w:sz="0" w:space="0" w:color="auto"/>
        <w:right w:val="none" w:sz="0" w:space="0" w:color="auto"/>
      </w:divBdr>
    </w:div>
    <w:div w:id="1699969409">
      <w:bodyDiv w:val="1"/>
      <w:marLeft w:val="0"/>
      <w:marRight w:val="0"/>
      <w:marTop w:val="0"/>
      <w:marBottom w:val="0"/>
      <w:divBdr>
        <w:top w:val="none" w:sz="0" w:space="0" w:color="auto"/>
        <w:left w:val="none" w:sz="0" w:space="0" w:color="auto"/>
        <w:bottom w:val="none" w:sz="0" w:space="0" w:color="auto"/>
        <w:right w:val="none" w:sz="0" w:space="0" w:color="auto"/>
      </w:divBdr>
    </w:div>
    <w:div w:id="1736472818">
      <w:bodyDiv w:val="1"/>
      <w:marLeft w:val="0"/>
      <w:marRight w:val="0"/>
      <w:marTop w:val="0"/>
      <w:marBottom w:val="0"/>
      <w:divBdr>
        <w:top w:val="none" w:sz="0" w:space="0" w:color="auto"/>
        <w:left w:val="none" w:sz="0" w:space="0" w:color="auto"/>
        <w:bottom w:val="none" w:sz="0" w:space="0" w:color="auto"/>
        <w:right w:val="none" w:sz="0" w:space="0" w:color="auto"/>
      </w:divBdr>
    </w:div>
    <w:div w:id="1757088426">
      <w:bodyDiv w:val="1"/>
      <w:marLeft w:val="0"/>
      <w:marRight w:val="0"/>
      <w:marTop w:val="0"/>
      <w:marBottom w:val="0"/>
      <w:divBdr>
        <w:top w:val="none" w:sz="0" w:space="0" w:color="auto"/>
        <w:left w:val="none" w:sz="0" w:space="0" w:color="auto"/>
        <w:bottom w:val="none" w:sz="0" w:space="0" w:color="auto"/>
        <w:right w:val="none" w:sz="0" w:space="0" w:color="auto"/>
      </w:divBdr>
    </w:div>
    <w:div w:id="1892112710">
      <w:bodyDiv w:val="1"/>
      <w:marLeft w:val="0"/>
      <w:marRight w:val="0"/>
      <w:marTop w:val="0"/>
      <w:marBottom w:val="0"/>
      <w:divBdr>
        <w:top w:val="none" w:sz="0" w:space="0" w:color="auto"/>
        <w:left w:val="none" w:sz="0" w:space="0" w:color="auto"/>
        <w:bottom w:val="none" w:sz="0" w:space="0" w:color="auto"/>
        <w:right w:val="none" w:sz="0" w:space="0" w:color="auto"/>
      </w:divBdr>
    </w:div>
    <w:div w:id="1998999474">
      <w:bodyDiv w:val="1"/>
      <w:marLeft w:val="0"/>
      <w:marRight w:val="0"/>
      <w:marTop w:val="0"/>
      <w:marBottom w:val="0"/>
      <w:divBdr>
        <w:top w:val="none" w:sz="0" w:space="0" w:color="auto"/>
        <w:left w:val="none" w:sz="0" w:space="0" w:color="auto"/>
        <w:bottom w:val="none" w:sz="0" w:space="0" w:color="auto"/>
        <w:right w:val="none" w:sz="0" w:space="0" w:color="auto"/>
      </w:divBdr>
    </w:div>
    <w:div w:id="2003922642">
      <w:bodyDiv w:val="1"/>
      <w:marLeft w:val="0"/>
      <w:marRight w:val="0"/>
      <w:marTop w:val="0"/>
      <w:marBottom w:val="0"/>
      <w:divBdr>
        <w:top w:val="none" w:sz="0" w:space="0" w:color="auto"/>
        <w:left w:val="none" w:sz="0" w:space="0" w:color="auto"/>
        <w:bottom w:val="none" w:sz="0" w:space="0" w:color="auto"/>
        <w:right w:val="none" w:sz="0" w:space="0" w:color="auto"/>
      </w:divBdr>
    </w:div>
    <w:div w:id="2139445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vic.gov.au/water-for-victo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OneDrive%20-%20Custom%20Templates\SharePoint%20Documents%20-%20Customers\@Base%20Templates\Melbourne%20Water%20Accessible%20Document%20Pasting%20Tool-Own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7AAA292AE4FE0834B504C43C67F97"/>
        <w:category>
          <w:name w:val="General"/>
          <w:gallery w:val="placeholder"/>
        </w:category>
        <w:types>
          <w:type w:val="bbPlcHdr"/>
        </w:types>
        <w:behaviors>
          <w:behavior w:val="content"/>
        </w:behaviors>
        <w:guid w:val="{F78A67F1-39F2-4A84-9D90-2B018F474ACB}"/>
      </w:docPartPr>
      <w:docPartBody>
        <w:p w:rsidR="0048751F" w:rsidRDefault="0048751F">
          <w:pPr>
            <w:pStyle w:val="CF07AAA292AE4FE0834B504C43C67F97"/>
          </w:pPr>
          <w:r w:rsidRPr="007A25B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1F"/>
    <w:rsid w:val="00135A80"/>
    <w:rsid w:val="00165442"/>
    <w:rsid w:val="0048751F"/>
    <w:rsid w:val="00DF210A"/>
    <w:rsid w:val="00E207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CF07AAA292AE4FE0834B504C43C67F97">
    <w:name w:val="CF07AAA292AE4FE0834B504C43C67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83999-3925-4a8c-8d71-3418e815230e" xsi:nil="true"/>
    <lcf76f155ced4ddcb4097134ff3c332f xmlns="14b199b6-5bb1-471a-bba6-9fa51ea13b5a">
      <Terms xmlns="http://schemas.microsoft.com/office/infopath/2007/PartnerControls"/>
    </lcf76f155ced4ddcb4097134ff3c332f>
    <DocumentNumber xmlns="14b199b6-5bb1-471a-bba6-9fa51ea13b5a">XX-XXXX-XXX-XX-00000</DocumentNumber>
    <VersionNumber xmlns="14b199b6-5bb1-471a-bba6-9fa51ea13b5a">XX</VersionNumber>
    <SharedWithUsers xmlns="73d83999-3925-4a8c-8d71-3418e815230e">
      <UserInfo>
        <DisplayName>Fiona Durante</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62A8291AC574281C201B771815F2E" ma:contentTypeVersion="19" ma:contentTypeDescription="Create a new document." ma:contentTypeScope="" ma:versionID="fd4e1c7b5aa8db4e162db115df436dbd">
  <xsd:schema xmlns:xsd="http://www.w3.org/2001/XMLSchema" xmlns:xs="http://www.w3.org/2001/XMLSchema" xmlns:p="http://schemas.microsoft.com/office/2006/metadata/properties" xmlns:ns2="14b199b6-5bb1-471a-bba6-9fa51ea13b5a" xmlns:ns3="73d83999-3925-4a8c-8d71-3418e815230e" targetNamespace="http://schemas.microsoft.com/office/2006/metadata/properties" ma:root="true" ma:fieldsID="facd198d1da9720b5c1e0f05ef34820b" ns2:_="" ns3:_="">
    <xsd:import namespace="14b199b6-5bb1-471a-bba6-9fa51ea13b5a"/>
    <xsd:import namespace="73d83999-3925-4a8c-8d71-3418e81523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ocumentNumber" minOccurs="0"/>
                <xsd:element ref="ns2:VersionNumb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199b6-5bb1-471a-bba6-9fa51ea13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0e6b7-233c-4d31-976e-5b12397279dc" ma:termSetId="09814cd3-568e-fe90-9814-8d621ff8fb84" ma:anchorId="fba54fb3-c3e1-fe81-a776-ca4b69148c4d" ma:open="true" ma:isKeyword="false">
      <xsd:complexType>
        <xsd:sequence>
          <xsd:element ref="pc:Terms" minOccurs="0" maxOccurs="1"/>
        </xsd:sequence>
      </xsd:complexType>
    </xsd:element>
    <xsd:element name="DocumentNumber" ma:index="24" nillable="true" ma:displayName="Document Number" ma:default="XX-XXXX-XXX-XX-00000" ma:format="Dropdown" ma:internalName="DocumentNumber">
      <xsd:simpleType>
        <xsd:restriction base="dms:Text">
          <xsd:maxLength value="255"/>
        </xsd:restriction>
      </xsd:simpleType>
    </xsd:element>
    <xsd:element name="VersionNumber" ma:index="25" nillable="true" ma:displayName="Version Number" ma:default="XX" ma:format="Dropdown" ma:internalName="VersionNumber">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83999-3925-4a8c-8d71-3418e81523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c63c2f-56f6-4035-adc6-41051efbcd10}" ma:internalName="TaxCatchAll" ma:showField="CatchAllData" ma:web="73d83999-3925-4a8c-8d71-3418e8152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4FF7-A4EF-4CDB-86CD-0C907FDF43F8}">
  <ds:schemaRefs>
    <ds:schemaRef ds:uri="http://www.w3.org/XML/1998/namespace"/>
    <ds:schemaRef ds:uri="http://schemas.openxmlformats.org/package/2006/metadata/core-properties"/>
    <ds:schemaRef ds:uri="http://schemas.microsoft.com/office/infopath/2007/PartnerControls"/>
    <ds:schemaRef ds:uri="http://purl.org/dc/elements/1.1/"/>
    <ds:schemaRef ds:uri="14b199b6-5bb1-471a-bba6-9fa51ea13b5a"/>
    <ds:schemaRef ds:uri="http://schemas.microsoft.com/office/2006/metadata/properties"/>
    <ds:schemaRef ds:uri="http://purl.org/dc/terms/"/>
    <ds:schemaRef ds:uri="http://schemas.microsoft.com/office/2006/documentManagement/types"/>
    <ds:schemaRef ds:uri="73d83999-3925-4a8c-8d71-3418e815230e"/>
    <ds:schemaRef ds:uri="http://purl.org/dc/dcmitype/"/>
  </ds:schemaRefs>
</ds:datastoreItem>
</file>

<file path=customXml/itemProps2.xml><?xml version="1.0" encoding="utf-8"?>
<ds:datastoreItem xmlns:ds="http://schemas.openxmlformats.org/officeDocument/2006/customXml" ds:itemID="{119C6951-3D9E-4D93-9057-E365C8AABE50}">
  <ds:schemaRefs>
    <ds:schemaRef ds:uri="http://schemas.microsoft.com/sharepoint/v3/contenttype/forms"/>
  </ds:schemaRefs>
</ds:datastoreItem>
</file>

<file path=customXml/itemProps3.xml><?xml version="1.0" encoding="utf-8"?>
<ds:datastoreItem xmlns:ds="http://schemas.openxmlformats.org/officeDocument/2006/customXml" ds:itemID="{469DFAFC-F588-4C16-B481-D971F3114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199b6-5bb1-471a-bba6-9fa51ea13b5a"/>
    <ds:schemaRef ds:uri="73d83999-3925-4a8c-8d71-3418e815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DE968-C305-46C3-87AF-A02BDF57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Melbourne Water Accessible Document Pasting Tool-Owner.dotm</Template>
  <TotalTime>0</TotalTime>
  <Pages>74</Pages>
  <Words>27313</Words>
  <Characters>155689</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Melbourne Water Corporate Plan</vt:lpstr>
    </vt:vector>
  </TitlesOfParts>
  <LinksUpToDate>false</LinksUpToDate>
  <CharactersWithSpaces>182637</CharactersWithSpaces>
  <SharedDoc>false</SharedDoc>
  <HLinks>
    <vt:vector size="1968" baseType="variant">
      <vt:variant>
        <vt:i4>6619175</vt:i4>
      </vt:variant>
      <vt:variant>
        <vt:i4>2826</vt:i4>
      </vt:variant>
      <vt:variant>
        <vt:i4>0</vt:i4>
      </vt:variant>
      <vt:variant>
        <vt:i4>5</vt:i4>
      </vt:variant>
      <vt:variant>
        <vt:lpwstr>https://www.melbournewater.com.au/</vt:lpwstr>
      </vt:variant>
      <vt:variant>
        <vt:lpwstr/>
      </vt:variant>
      <vt:variant>
        <vt:i4>6619175</vt:i4>
      </vt:variant>
      <vt:variant>
        <vt:i4>2679</vt:i4>
      </vt:variant>
      <vt:variant>
        <vt:i4>0</vt:i4>
      </vt:variant>
      <vt:variant>
        <vt:i4>5</vt:i4>
      </vt:variant>
      <vt:variant>
        <vt:lpwstr>https://www.melbournewater.com.au/</vt:lpwstr>
      </vt:variant>
      <vt:variant>
        <vt:lpwstr/>
      </vt:variant>
      <vt:variant>
        <vt:i4>5111862</vt:i4>
      </vt:variant>
      <vt:variant>
        <vt:i4>2064</vt:i4>
      </vt:variant>
      <vt:variant>
        <vt:i4>0</vt:i4>
      </vt:variant>
      <vt:variant>
        <vt:i4>5</vt:i4>
      </vt:variant>
      <vt:variant>
        <vt:lpwstr/>
      </vt:variant>
      <vt:variant>
        <vt:lpwstr>NoteAppCBE_2</vt:lpwstr>
      </vt:variant>
      <vt:variant>
        <vt:i4>2949204</vt:i4>
      </vt:variant>
      <vt:variant>
        <vt:i4>2061</vt:i4>
      </vt:variant>
      <vt:variant>
        <vt:i4>0</vt:i4>
      </vt:variant>
      <vt:variant>
        <vt:i4>5</vt:i4>
      </vt:variant>
      <vt:variant>
        <vt:lpwstr/>
      </vt:variant>
      <vt:variant>
        <vt:lpwstr>NoteAppC_4</vt:lpwstr>
      </vt:variant>
      <vt:variant>
        <vt:i4>7995476</vt:i4>
      </vt:variant>
      <vt:variant>
        <vt:i4>2058</vt:i4>
      </vt:variant>
      <vt:variant>
        <vt:i4>0</vt:i4>
      </vt:variant>
      <vt:variant>
        <vt:i4>5</vt:i4>
      </vt:variant>
      <vt:variant>
        <vt:lpwstr/>
      </vt:variant>
      <vt:variant>
        <vt:lpwstr>NoteAppC_C</vt:lpwstr>
      </vt:variant>
      <vt:variant>
        <vt:i4>7995476</vt:i4>
      </vt:variant>
      <vt:variant>
        <vt:i4>2055</vt:i4>
      </vt:variant>
      <vt:variant>
        <vt:i4>0</vt:i4>
      </vt:variant>
      <vt:variant>
        <vt:i4>5</vt:i4>
      </vt:variant>
      <vt:variant>
        <vt:lpwstr/>
      </vt:variant>
      <vt:variant>
        <vt:lpwstr>NoteAppC_C</vt:lpwstr>
      </vt:variant>
      <vt:variant>
        <vt:i4>7995476</vt:i4>
      </vt:variant>
      <vt:variant>
        <vt:i4>2052</vt:i4>
      </vt:variant>
      <vt:variant>
        <vt:i4>0</vt:i4>
      </vt:variant>
      <vt:variant>
        <vt:i4>5</vt:i4>
      </vt:variant>
      <vt:variant>
        <vt:lpwstr/>
      </vt:variant>
      <vt:variant>
        <vt:lpwstr>NoteAppC_C</vt:lpwstr>
      </vt:variant>
      <vt:variant>
        <vt:i4>7995476</vt:i4>
      </vt:variant>
      <vt:variant>
        <vt:i4>2049</vt:i4>
      </vt:variant>
      <vt:variant>
        <vt:i4>0</vt:i4>
      </vt:variant>
      <vt:variant>
        <vt:i4>5</vt:i4>
      </vt:variant>
      <vt:variant>
        <vt:lpwstr/>
      </vt:variant>
      <vt:variant>
        <vt:lpwstr>NoteAppC_C</vt:lpwstr>
      </vt:variant>
      <vt:variant>
        <vt:i4>2621524</vt:i4>
      </vt:variant>
      <vt:variant>
        <vt:i4>2046</vt:i4>
      </vt:variant>
      <vt:variant>
        <vt:i4>0</vt:i4>
      </vt:variant>
      <vt:variant>
        <vt:i4>5</vt:i4>
      </vt:variant>
      <vt:variant>
        <vt:lpwstr/>
      </vt:variant>
      <vt:variant>
        <vt:lpwstr>NoteAppC_11</vt:lpwstr>
      </vt:variant>
      <vt:variant>
        <vt:i4>2621524</vt:i4>
      </vt:variant>
      <vt:variant>
        <vt:i4>2043</vt:i4>
      </vt:variant>
      <vt:variant>
        <vt:i4>0</vt:i4>
      </vt:variant>
      <vt:variant>
        <vt:i4>5</vt:i4>
      </vt:variant>
      <vt:variant>
        <vt:lpwstr/>
      </vt:variant>
      <vt:variant>
        <vt:lpwstr>NoteAppC_10</vt:lpwstr>
      </vt:variant>
      <vt:variant>
        <vt:i4>8061012</vt:i4>
      </vt:variant>
      <vt:variant>
        <vt:i4>2040</vt:i4>
      </vt:variant>
      <vt:variant>
        <vt:i4>0</vt:i4>
      </vt:variant>
      <vt:variant>
        <vt:i4>5</vt:i4>
      </vt:variant>
      <vt:variant>
        <vt:lpwstr/>
      </vt:variant>
      <vt:variant>
        <vt:lpwstr>NoteAppC_B</vt:lpwstr>
      </vt:variant>
      <vt:variant>
        <vt:i4>2162772</vt:i4>
      </vt:variant>
      <vt:variant>
        <vt:i4>2037</vt:i4>
      </vt:variant>
      <vt:variant>
        <vt:i4>0</vt:i4>
      </vt:variant>
      <vt:variant>
        <vt:i4>5</vt:i4>
      </vt:variant>
      <vt:variant>
        <vt:lpwstr/>
      </vt:variant>
      <vt:variant>
        <vt:lpwstr>NoteAppC_8</vt:lpwstr>
      </vt:variant>
      <vt:variant>
        <vt:i4>8061012</vt:i4>
      </vt:variant>
      <vt:variant>
        <vt:i4>2034</vt:i4>
      </vt:variant>
      <vt:variant>
        <vt:i4>0</vt:i4>
      </vt:variant>
      <vt:variant>
        <vt:i4>5</vt:i4>
      </vt:variant>
      <vt:variant>
        <vt:lpwstr/>
      </vt:variant>
      <vt:variant>
        <vt:lpwstr>NoteAppC_B</vt:lpwstr>
      </vt:variant>
      <vt:variant>
        <vt:i4>3080276</vt:i4>
      </vt:variant>
      <vt:variant>
        <vt:i4>2031</vt:i4>
      </vt:variant>
      <vt:variant>
        <vt:i4>0</vt:i4>
      </vt:variant>
      <vt:variant>
        <vt:i4>5</vt:i4>
      </vt:variant>
      <vt:variant>
        <vt:lpwstr/>
      </vt:variant>
      <vt:variant>
        <vt:lpwstr>NoteAppC_6</vt:lpwstr>
      </vt:variant>
      <vt:variant>
        <vt:i4>8061012</vt:i4>
      </vt:variant>
      <vt:variant>
        <vt:i4>2028</vt:i4>
      </vt:variant>
      <vt:variant>
        <vt:i4>0</vt:i4>
      </vt:variant>
      <vt:variant>
        <vt:i4>5</vt:i4>
      </vt:variant>
      <vt:variant>
        <vt:lpwstr/>
      </vt:variant>
      <vt:variant>
        <vt:lpwstr>NoteAppC_B</vt:lpwstr>
      </vt:variant>
      <vt:variant>
        <vt:i4>2752596</vt:i4>
      </vt:variant>
      <vt:variant>
        <vt:i4>2025</vt:i4>
      </vt:variant>
      <vt:variant>
        <vt:i4>0</vt:i4>
      </vt:variant>
      <vt:variant>
        <vt:i4>5</vt:i4>
      </vt:variant>
      <vt:variant>
        <vt:lpwstr/>
      </vt:variant>
      <vt:variant>
        <vt:lpwstr>NoteAppC_3</vt:lpwstr>
      </vt:variant>
      <vt:variant>
        <vt:i4>8061012</vt:i4>
      </vt:variant>
      <vt:variant>
        <vt:i4>2022</vt:i4>
      </vt:variant>
      <vt:variant>
        <vt:i4>0</vt:i4>
      </vt:variant>
      <vt:variant>
        <vt:i4>5</vt:i4>
      </vt:variant>
      <vt:variant>
        <vt:lpwstr/>
      </vt:variant>
      <vt:variant>
        <vt:lpwstr>NoteAppC_B</vt:lpwstr>
      </vt:variant>
      <vt:variant>
        <vt:i4>2621524</vt:i4>
      </vt:variant>
      <vt:variant>
        <vt:i4>2019</vt:i4>
      </vt:variant>
      <vt:variant>
        <vt:i4>0</vt:i4>
      </vt:variant>
      <vt:variant>
        <vt:i4>5</vt:i4>
      </vt:variant>
      <vt:variant>
        <vt:lpwstr/>
      </vt:variant>
      <vt:variant>
        <vt:lpwstr>NoteAppC_1</vt:lpwstr>
      </vt:variant>
      <vt:variant>
        <vt:i4>7864404</vt:i4>
      </vt:variant>
      <vt:variant>
        <vt:i4>2016</vt:i4>
      </vt:variant>
      <vt:variant>
        <vt:i4>0</vt:i4>
      </vt:variant>
      <vt:variant>
        <vt:i4>5</vt:i4>
      </vt:variant>
      <vt:variant>
        <vt:lpwstr/>
      </vt:variant>
      <vt:variant>
        <vt:lpwstr>NoteAppC_A</vt:lpwstr>
      </vt:variant>
      <vt:variant>
        <vt:i4>7864404</vt:i4>
      </vt:variant>
      <vt:variant>
        <vt:i4>2013</vt:i4>
      </vt:variant>
      <vt:variant>
        <vt:i4>0</vt:i4>
      </vt:variant>
      <vt:variant>
        <vt:i4>5</vt:i4>
      </vt:variant>
      <vt:variant>
        <vt:lpwstr/>
      </vt:variant>
      <vt:variant>
        <vt:lpwstr>NoteAppC_A</vt:lpwstr>
      </vt:variant>
      <vt:variant>
        <vt:i4>7864404</vt:i4>
      </vt:variant>
      <vt:variant>
        <vt:i4>2010</vt:i4>
      </vt:variant>
      <vt:variant>
        <vt:i4>0</vt:i4>
      </vt:variant>
      <vt:variant>
        <vt:i4>5</vt:i4>
      </vt:variant>
      <vt:variant>
        <vt:lpwstr/>
      </vt:variant>
      <vt:variant>
        <vt:lpwstr>NoteAppC_A</vt:lpwstr>
      </vt:variant>
      <vt:variant>
        <vt:i4>7864404</vt:i4>
      </vt:variant>
      <vt:variant>
        <vt:i4>2007</vt:i4>
      </vt:variant>
      <vt:variant>
        <vt:i4>0</vt:i4>
      </vt:variant>
      <vt:variant>
        <vt:i4>5</vt:i4>
      </vt:variant>
      <vt:variant>
        <vt:lpwstr/>
      </vt:variant>
      <vt:variant>
        <vt:lpwstr>NoteAppC_A</vt:lpwstr>
      </vt:variant>
      <vt:variant>
        <vt:i4>7995476</vt:i4>
      </vt:variant>
      <vt:variant>
        <vt:i4>2004</vt:i4>
      </vt:variant>
      <vt:variant>
        <vt:i4>0</vt:i4>
      </vt:variant>
      <vt:variant>
        <vt:i4>5</vt:i4>
      </vt:variant>
      <vt:variant>
        <vt:lpwstr/>
      </vt:variant>
      <vt:variant>
        <vt:lpwstr>NoteAppC_C</vt:lpwstr>
      </vt:variant>
      <vt:variant>
        <vt:i4>8061012</vt:i4>
      </vt:variant>
      <vt:variant>
        <vt:i4>2001</vt:i4>
      </vt:variant>
      <vt:variant>
        <vt:i4>0</vt:i4>
      </vt:variant>
      <vt:variant>
        <vt:i4>5</vt:i4>
      </vt:variant>
      <vt:variant>
        <vt:lpwstr/>
      </vt:variant>
      <vt:variant>
        <vt:lpwstr>NoteAppC_B</vt:lpwstr>
      </vt:variant>
      <vt:variant>
        <vt:i4>7864404</vt:i4>
      </vt:variant>
      <vt:variant>
        <vt:i4>1998</vt:i4>
      </vt:variant>
      <vt:variant>
        <vt:i4>0</vt:i4>
      </vt:variant>
      <vt:variant>
        <vt:i4>5</vt:i4>
      </vt:variant>
      <vt:variant>
        <vt:lpwstr/>
      </vt:variant>
      <vt:variant>
        <vt:lpwstr>NoteAppC_A</vt:lpwstr>
      </vt:variant>
      <vt:variant>
        <vt:i4>2097236</vt:i4>
      </vt:variant>
      <vt:variant>
        <vt:i4>1995</vt:i4>
      </vt:variant>
      <vt:variant>
        <vt:i4>0</vt:i4>
      </vt:variant>
      <vt:variant>
        <vt:i4>5</vt:i4>
      </vt:variant>
      <vt:variant>
        <vt:lpwstr/>
      </vt:variant>
      <vt:variant>
        <vt:lpwstr>NoteAppC_9</vt:lpwstr>
      </vt:variant>
      <vt:variant>
        <vt:i4>3014740</vt:i4>
      </vt:variant>
      <vt:variant>
        <vt:i4>1992</vt:i4>
      </vt:variant>
      <vt:variant>
        <vt:i4>0</vt:i4>
      </vt:variant>
      <vt:variant>
        <vt:i4>5</vt:i4>
      </vt:variant>
      <vt:variant>
        <vt:lpwstr/>
      </vt:variant>
      <vt:variant>
        <vt:lpwstr>NoteAppC_7</vt:lpwstr>
      </vt:variant>
      <vt:variant>
        <vt:i4>2883668</vt:i4>
      </vt:variant>
      <vt:variant>
        <vt:i4>1989</vt:i4>
      </vt:variant>
      <vt:variant>
        <vt:i4>0</vt:i4>
      </vt:variant>
      <vt:variant>
        <vt:i4>5</vt:i4>
      </vt:variant>
      <vt:variant>
        <vt:lpwstr/>
      </vt:variant>
      <vt:variant>
        <vt:lpwstr>NoteAppC_5</vt:lpwstr>
      </vt:variant>
      <vt:variant>
        <vt:i4>2818132</vt:i4>
      </vt:variant>
      <vt:variant>
        <vt:i4>1986</vt:i4>
      </vt:variant>
      <vt:variant>
        <vt:i4>0</vt:i4>
      </vt:variant>
      <vt:variant>
        <vt:i4>5</vt:i4>
      </vt:variant>
      <vt:variant>
        <vt:lpwstr/>
      </vt:variant>
      <vt:variant>
        <vt:lpwstr>NoteAppC_2</vt:lpwstr>
      </vt:variant>
      <vt:variant>
        <vt:i4>196629</vt:i4>
      </vt:variant>
      <vt:variant>
        <vt:i4>1983</vt:i4>
      </vt:variant>
      <vt:variant>
        <vt:i4>0</vt:i4>
      </vt:variant>
      <vt:variant>
        <vt:i4>5</vt:i4>
      </vt:variant>
      <vt:variant>
        <vt:lpwstr>https://www.ibac.vic.gov.au/</vt:lpwstr>
      </vt:variant>
      <vt:variant>
        <vt:lpwstr/>
      </vt:variant>
      <vt:variant>
        <vt:i4>6619175</vt:i4>
      </vt:variant>
      <vt:variant>
        <vt:i4>1980</vt:i4>
      </vt:variant>
      <vt:variant>
        <vt:i4>0</vt:i4>
      </vt:variant>
      <vt:variant>
        <vt:i4>5</vt:i4>
      </vt:variant>
      <vt:variant>
        <vt:lpwstr>https://www.melbournewater.com.au/</vt:lpwstr>
      </vt:variant>
      <vt:variant>
        <vt:lpwstr/>
      </vt:variant>
      <vt:variant>
        <vt:i4>655463</vt:i4>
      </vt:variant>
      <vt:variant>
        <vt:i4>1977</vt:i4>
      </vt:variant>
      <vt:variant>
        <vt:i4>0</vt:i4>
      </vt:variant>
      <vt:variant>
        <vt:i4>5</vt:i4>
      </vt:variant>
      <vt:variant>
        <vt:lpwstr>mailto:foi@melbournewater.com.au</vt:lpwstr>
      </vt:variant>
      <vt:variant>
        <vt:lpwstr/>
      </vt:variant>
      <vt:variant>
        <vt:i4>6619175</vt:i4>
      </vt:variant>
      <vt:variant>
        <vt:i4>1971</vt:i4>
      </vt:variant>
      <vt:variant>
        <vt:i4>0</vt:i4>
      </vt:variant>
      <vt:variant>
        <vt:i4>5</vt:i4>
      </vt:variant>
      <vt:variant>
        <vt:lpwstr>https://www.melbournewater.com.au/</vt:lpwstr>
      </vt:variant>
      <vt:variant>
        <vt:lpwstr/>
      </vt:variant>
      <vt:variant>
        <vt:i4>1441852</vt:i4>
      </vt:variant>
      <vt:variant>
        <vt:i4>1602</vt:i4>
      </vt:variant>
      <vt:variant>
        <vt:i4>0</vt:i4>
      </vt:variant>
      <vt:variant>
        <vt:i4>5</vt:i4>
      </vt:variant>
      <vt:variant>
        <vt:lpwstr/>
      </vt:variant>
      <vt:variant>
        <vt:lpwstr>_Appendix_J_–</vt:lpwstr>
      </vt:variant>
      <vt:variant>
        <vt:i4>1441855</vt:i4>
      </vt:variant>
      <vt:variant>
        <vt:i4>1599</vt:i4>
      </vt:variant>
      <vt:variant>
        <vt:i4>0</vt:i4>
      </vt:variant>
      <vt:variant>
        <vt:i4>5</vt:i4>
      </vt:variant>
      <vt:variant>
        <vt:lpwstr/>
      </vt:variant>
      <vt:variant>
        <vt:lpwstr>_Appendix_I_–</vt:lpwstr>
      </vt:variant>
      <vt:variant>
        <vt:i4>1441854</vt:i4>
      </vt:variant>
      <vt:variant>
        <vt:i4>1596</vt:i4>
      </vt:variant>
      <vt:variant>
        <vt:i4>0</vt:i4>
      </vt:variant>
      <vt:variant>
        <vt:i4>5</vt:i4>
      </vt:variant>
      <vt:variant>
        <vt:lpwstr/>
      </vt:variant>
      <vt:variant>
        <vt:lpwstr>_Appendix_H_–</vt:lpwstr>
      </vt:variant>
      <vt:variant>
        <vt:i4>1441841</vt:i4>
      </vt:variant>
      <vt:variant>
        <vt:i4>1593</vt:i4>
      </vt:variant>
      <vt:variant>
        <vt:i4>0</vt:i4>
      </vt:variant>
      <vt:variant>
        <vt:i4>5</vt:i4>
      </vt:variant>
      <vt:variant>
        <vt:lpwstr/>
      </vt:variant>
      <vt:variant>
        <vt:lpwstr>_Appendix_G_–</vt:lpwstr>
      </vt:variant>
      <vt:variant>
        <vt:i4>1441840</vt:i4>
      </vt:variant>
      <vt:variant>
        <vt:i4>1590</vt:i4>
      </vt:variant>
      <vt:variant>
        <vt:i4>0</vt:i4>
      </vt:variant>
      <vt:variant>
        <vt:i4>5</vt:i4>
      </vt:variant>
      <vt:variant>
        <vt:lpwstr/>
      </vt:variant>
      <vt:variant>
        <vt:lpwstr>_Appendix_F_–</vt:lpwstr>
      </vt:variant>
      <vt:variant>
        <vt:i4>1441843</vt:i4>
      </vt:variant>
      <vt:variant>
        <vt:i4>1587</vt:i4>
      </vt:variant>
      <vt:variant>
        <vt:i4>0</vt:i4>
      </vt:variant>
      <vt:variant>
        <vt:i4>5</vt:i4>
      </vt:variant>
      <vt:variant>
        <vt:lpwstr/>
      </vt:variant>
      <vt:variant>
        <vt:lpwstr>_Appendix_E_–</vt:lpwstr>
      </vt:variant>
      <vt:variant>
        <vt:i4>1441842</vt:i4>
      </vt:variant>
      <vt:variant>
        <vt:i4>1584</vt:i4>
      </vt:variant>
      <vt:variant>
        <vt:i4>0</vt:i4>
      </vt:variant>
      <vt:variant>
        <vt:i4>5</vt:i4>
      </vt:variant>
      <vt:variant>
        <vt:lpwstr/>
      </vt:variant>
      <vt:variant>
        <vt:lpwstr>_Appendix_D_–</vt:lpwstr>
      </vt:variant>
      <vt:variant>
        <vt:i4>1441845</vt:i4>
      </vt:variant>
      <vt:variant>
        <vt:i4>1581</vt:i4>
      </vt:variant>
      <vt:variant>
        <vt:i4>0</vt:i4>
      </vt:variant>
      <vt:variant>
        <vt:i4>5</vt:i4>
      </vt:variant>
      <vt:variant>
        <vt:lpwstr/>
      </vt:variant>
      <vt:variant>
        <vt:lpwstr>_Appendix_C_–</vt:lpwstr>
      </vt:variant>
      <vt:variant>
        <vt:i4>1441844</vt:i4>
      </vt:variant>
      <vt:variant>
        <vt:i4>1578</vt:i4>
      </vt:variant>
      <vt:variant>
        <vt:i4>0</vt:i4>
      </vt:variant>
      <vt:variant>
        <vt:i4>5</vt:i4>
      </vt:variant>
      <vt:variant>
        <vt:lpwstr/>
      </vt:variant>
      <vt:variant>
        <vt:lpwstr>_Appendix_B_–</vt:lpwstr>
      </vt:variant>
      <vt:variant>
        <vt:i4>1441847</vt:i4>
      </vt:variant>
      <vt:variant>
        <vt:i4>1575</vt:i4>
      </vt:variant>
      <vt:variant>
        <vt:i4>0</vt:i4>
      </vt:variant>
      <vt:variant>
        <vt:i4>5</vt:i4>
      </vt:variant>
      <vt:variant>
        <vt:lpwstr/>
      </vt:variant>
      <vt:variant>
        <vt:lpwstr>_Appendix_A_–</vt:lpwstr>
      </vt:variant>
      <vt:variant>
        <vt:i4>5373997</vt:i4>
      </vt:variant>
      <vt:variant>
        <vt:i4>1572</vt:i4>
      </vt:variant>
      <vt:variant>
        <vt:i4>0</vt:i4>
      </vt:variant>
      <vt:variant>
        <vt:i4>5</vt:i4>
      </vt:variant>
      <vt:variant>
        <vt:lpwstr/>
      </vt:variant>
      <vt:variant>
        <vt:lpwstr>NoteWSOSPI_13</vt:lpwstr>
      </vt:variant>
      <vt:variant>
        <vt:i4>5373997</vt:i4>
      </vt:variant>
      <vt:variant>
        <vt:i4>1569</vt:i4>
      </vt:variant>
      <vt:variant>
        <vt:i4>0</vt:i4>
      </vt:variant>
      <vt:variant>
        <vt:i4>5</vt:i4>
      </vt:variant>
      <vt:variant>
        <vt:lpwstr/>
      </vt:variant>
      <vt:variant>
        <vt:lpwstr>NoteWSOSPI_13</vt:lpwstr>
      </vt:variant>
      <vt:variant>
        <vt:i4>5373997</vt:i4>
      </vt:variant>
      <vt:variant>
        <vt:i4>1566</vt:i4>
      </vt:variant>
      <vt:variant>
        <vt:i4>0</vt:i4>
      </vt:variant>
      <vt:variant>
        <vt:i4>5</vt:i4>
      </vt:variant>
      <vt:variant>
        <vt:lpwstr/>
      </vt:variant>
      <vt:variant>
        <vt:lpwstr>NoteWSOSPI_1b</vt:lpwstr>
      </vt:variant>
      <vt:variant>
        <vt:i4>5373997</vt:i4>
      </vt:variant>
      <vt:variant>
        <vt:i4>1563</vt:i4>
      </vt:variant>
      <vt:variant>
        <vt:i4>0</vt:i4>
      </vt:variant>
      <vt:variant>
        <vt:i4>5</vt:i4>
      </vt:variant>
      <vt:variant>
        <vt:lpwstr/>
      </vt:variant>
      <vt:variant>
        <vt:lpwstr>NoteWSOSPI_12</vt:lpwstr>
      </vt:variant>
      <vt:variant>
        <vt:i4>5373997</vt:i4>
      </vt:variant>
      <vt:variant>
        <vt:i4>1560</vt:i4>
      </vt:variant>
      <vt:variant>
        <vt:i4>0</vt:i4>
      </vt:variant>
      <vt:variant>
        <vt:i4>5</vt:i4>
      </vt:variant>
      <vt:variant>
        <vt:lpwstr/>
      </vt:variant>
      <vt:variant>
        <vt:lpwstr>NoteWSOSPI_12</vt:lpwstr>
      </vt:variant>
      <vt:variant>
        <vt:i4>5373997</vt:i4>
      </vt:variant>
      <vt:variant>
        <vt:i4>1557</vt:i4>
      </vt:variant>
      <vt:variant>
        <vt:i4>0</vt:i4>
      </vt:variant>
      <vt:variant>
        <vt:i4>5</vt:i4>
      </vt:variant>
      <vt:variant>
        <vt:lpwstr/>
      </vt:variant>
      <vt:variant>
        <vt:lpwstr>NoteWSOSPI_11</vt:lpwstr>
      </vt:variant>
      <vt:variant>
        <vt:i4>5373997</vt:i4>
      </vt:variant>
      <vt:variant>
        <vt:i4>1554</vt:i4>
      </vt:variant>
      <vt:variant>
        <vt:i4>0</vt:i4>
      </vt:variant>
      <vt:variant>
        <vt:i4>5</vt:i4>
      </vt:variant>
      <vt:variant>
        <vt:lpwstr/>
      </vt:variant>
      <vt:variant>
        <vt:lpwstr>NoteWSOSPI_11</vt:lpwstr>
      </vt:variant>
      <vt:variant>
        <vt:i4>5373997</vt:i4>
      </vt:variant>
      <vt:variant>
        <vt:i4>1551</vt:i4>
      </vt:variant>
      <vt:variant>
        <vt:i4>0</vt:i4>
      </vt:variant>
      <vt:variant>
        <vt:i4>5</vt:i4>
      </vt:variant>
      <vt:variant>
        <vt:lpwstr/>
      </vt:variant>
      <vt:variant>
        <vt:lpwstr>NoteWSOSPI_10</vt:lpwstr>
      </vt:variant>
      <vt:variant>
        <vt:i4>5373997</vt:i4>
      </vt:variant>
      <vt:variant>
        <vt:i4>1548</vt:i4>
      </vt:variant>
      <vt:variant>
        <vt:i4>0</vt:i4>
      </vt:variant>
      <vt:variant>
        <vt:i4>5</vt:i4>
      </vt:variant>
      <vt:variant>
        <vt:lpwstr/>
      </vt:variant>
      <vt:variant>
        <vt:lpwstr>NoteWSOSPI_1</vt:lpwstr>
      </vt:variant>
      <vt:variant>
        <vt:i4>4259893</vt:i4>
      </vt:variant>
      <vt:variant>
        <vt:i4>1545</vt:i4>
      </vt:variant>
      <vt:variant>
        <vt:i4>0</vt:i4>
      </vt:variant>
      <vt:variant>
        <vt:i4>5</vt:i4>
      </vt:variant>
      <vt:variant>
        <vt:lpwstr/>
      </vt:variant>
      <vt:variant>
        <vt:lpwstr>NotePR_9</vt:lpwstr>
      </vt:variant>
      <vt:variant>
        <vt:i4>4194357</vt:i4>
      </vt:variant>
      <vt:variant>
        <vt:i4>1542</vt:i4>
      </vt:variant>
      <vt:variant>
        <vt:i4>0</vt:i4>
      </vt:variant>
      <vt:variant>
        <vt:i4>5</vt:i4>
      </vt:variant>
      <vt:variant>
        <vt:lpwstr/>
      </vt:variant>
      <vt:variant>
        <vt:lpwstr>NotePR_8</vt:lpwstr>
      </vt:variant>
      <vt:variant>
        <vt:i4>5177397</vt:i4>
      </vt:variant>
      <vt:variant>
        <vt:i4>1539</vt:i4>
      </vt:variant>
      <vt:variant>
        <vt:i4>0</vt:i4>
      </vt:variant>
      <vt:variant>
        <vt:i4>5</vt:i4>
      </vt:variant>
      <vt:variant>
        <vt:lpwstr/>
      </vt:variant>
      <vt:variant>
        <vt:lpwstr>NotePR_7</vt:lpwstr>
      </vt:variant>
      <vt:variant>
        <vt:i4>5111861</vt:i4>
      </vt:variant>
      <vt:variant>
        <vt:i4>1536</vt:i4>
      </vt:variant>
      <vt:variant>
        <vt:i4>0</vt:i4>
      </vt:variant>
      <vt:variant>
        <vt:i4>5</vt:i4>
      </vt:variant>
      <vt:variant>
        <vt:lpwstr/>
      </vt:variant>
      <vt:variant>
        <vt:lpwstr>NotePR_6</vt:lpwstr>
      </vt:variant>
      <vt:variant>
        <vt:i4>5046325</vt:i4>
      </vt:variant>
      <vt:variant>
        <vt:i4>1533</vt:i4>
      </vt:variant>
      <vt:variant>
        <vt:i4>0</vt:i4>
      </vt:variant>
      <vt:variant>
        <vt:i4>5</vt:i4>
      </vt:variant>
      <vt:variant>
        <vt:lpwstr/>
      </vt:variant>
      <vt:variant>
        <vt:lpwstr>NotePR_5</vt:lpwstr>
      </vt:variant>
      <vt:variant>
        <vt:i4>4980789</vt:i4>
      </vt:variant>
      <vt:variant>
        <vt:i4>1530</vt:i4>
      </vt:variant>
      <vt:variant>
        <vt:i4>0</vt:i4>
      </vt:variant>
      <vt:variant>
        <vt:i4>5</vt:i4>
      </vt:variant>
      <vt:variant>
        <vt:lpwstr/>
      </vt:variant>
      <vt:variant>
        <vt:lpwstr>NotePR_4</vt:lpwstr>
      </vt:variant>
      <vt:variant>
        <vt:i4>4915253</vt:i4>
      </vt:variant>
      <vt:variant>
        <vt:i4>1527</vt:i4>
      </vt:variant>
      <vt:variant>
        <vt:i4>0</vt:i4>
      </vt:variant>
      <vt:variant>
        <vt:i4>5</vt:i4>
      </vt:variant>
      <vt:variant>
        <vt:lpwstr/>
      </vt:variant>
      <vt:variant>
        <vt:lpwstr>NotePR_3</vt:lpwstr>
      </vt:variant>
      <vt:variant>
        <vt:i4>4849717</vt:i4>
      </vt:variant>
      <vt:variant>
        <vt:i4>1524</vt:i4>
      </vt:variant>
      <vt:variant>
        <vt:i4>0</vt:i4>
      </vt:variant>
      <vt:variant>
        <vt:i4>5</vt:i4>
      </vt:variant>
      <vt:variant>
        <vt:lpwstr/>
      </vt:variant>
      <vt:variant>
        <vt:lpwstr>NotePR_2</vt:lpwstr>
      </vt:variant>
      <vt:variant>
        <vt:i4>4784181</vt:i4>
      </vt:variant>
      <vt:variant>
        <vt:i4>1521</vt:i4>
      </vt:variant>
      <vt:variant>
        <vt:i4>0</vt:i4>
      </vt:variant>
      <vt:variant>
        <vt:i4>5</vt:i4>
      </vt:variant>
      <vt:variant>
        <vt:lpwstr/>
      </vt:variant>
      <vt:variant>
        <vt:lpwstr>NotePR_1</vt:lpwstr>
      </vt:variant>
      <vt:variant>
        <vt:i4>139355</vt:i4>
      </vt:variant>
      <vt:variant>
        <vt:i4>1518</vt:i4>
      </vt:variant>
      <vt:variant>
        <vt:i4>0</vt:i4>
      </vt:variant>
      <vt:variant>
        <vt:i4>5</vt:i4>
      </vt:variant>
      <vt:variant>
        <vt:lpwstr/>
      </vt:variant>
      <vt:variant>
        <vt:lpwstr>_Independent_Auditor’s_Report</vt:lpwstr>
      </vt:variant>
      <vt:variant>
        <vt:i4>3407879</vt:i4>
      </vt:variant>
      <vt:variant>
        <vt:i4>1515</vt:i4>
      </vt:variant>
      <vt:variant>
        <vt:i4>0</vt:i4>
      </vt:variant>
      <vt:variant>
        <vt:i4>5</vt:i4>
      </vt:variant>
      <vt:variant>
        <vt:lpwstr/>
      </vt:variant>
      <vt:variant>
        <vt:lpwstr>_Certification_of_Performance</vt:lpwstr>
      </vt:variant>
      <vt:variant>
        <vt:i4>8061049</vt:i4>
      </vt:variant>
      <vt:variant>
        <vt:i4>1512</vt:i4>
      </vt:variant>
      <vt:variant>
        <vt:i4>0</vt:i4>
      </vt:variant>
      <vt:variant>
        <vt:i4>5</vt:i4>
      </vt:variant>
      <vt:variant>
        <vt:lpwstr/>
      </vt:variant>
      <vt:variant>
        <vt:lpwstr>_Performance_Report</vt:lpwstr>
      </vt:variant>
      <vt:variant>
        <vt:i4>1114185</vt:i4>
      </vt:variant>
      <vt:variant>
        <vt:i4>1509</vt:i4>
      </vt:variant>
      <vt:variant>
        <vt:i4>0</vt:i4>
      </vt:variant>
      <vt:variant>
        <vt:i4>5</vt:i4>
      </vt:variant>
      <vt:variant>
        <vt:lpwstr/>
      </vt:variant>
      <vt:variant>
        <vt:lpwstr>_5.3_Commitments</vt:lpwstr>
      </vt:variant>
      <vt:variant>
        <vt:i4>4063326</vt:i4>
      </vt:variant>
      <vt:variant>
        <vt:i4>1506</vt:i4>
      </vt:variant>
      <vt:variant>
        <vt:i4>0</vt:i4>
      </vt:variant>
      <vt:variant>
        <vt:i4>5</vt:i4>
      </vt:variant>
      <vt:variant>
        <vt:lpwstr/>
      </vt:variant>
      <vt:variant>
        <vt:lpwstr>_5.1_Interest_bearing</vt:lpwstr>
      </vt:variant>
      <vt:variant>
        <vt:i4>7340107</vt:i4>
      </vt:variant>
      <vt:variant>
        <vt:i4>1503</vt:i4>
      </vt:variant>
      <vt:variant>
        <vt:i4>0</vt:i4>
      </vt:variant>
      <vt:variant>
        <vt:i4>5</vt:i4>
      </vt:variant>
      <vt:variant>
        <vt:lpwstr/>
      </vt:variant>
      <vt:variant>
        <vt:lpwstr>NoteCKMP_A</vt:lpwstr>
      </vt:variant>
      <vt:variant>
        <vt:i4>3145735</vt:i4>
      </vt:variant>
      <vt:variant>
        <vt:i4>1500</vt:i4>
      </vt:variant>
      <vt:variant>
        <vt:i4>0</vt:i4>
      </vt:variant>
      <vt:variant>
        <vt:i4>5</vt:i4>
      </vt:variant>
      <vt:variant>
        <vt:lpwstr/>
      </vt:variant>
      <vt:variant>
        <vt:lpwstr>NoteREO_B</vt:lpwstr>
      </vt:variant>
      <vt:variant>
        <vt:i4>3145735</vt:i4>
      </vt:variant>
      <vt:variant>
        <vt:i4>1497</vt:i4>
      </vt:variant>
      <vt:variant>
        <vt:i4>0</vt:i4>
      </vt:variant>
      <vt:variant>
        <vt:i4>5</vt:i4>
      </vt:variant>
      <vt:variant>
        <vt:lpwstr/>
      </vt:variant>
      <vt:variant>
        <vt:lpwstr>NoteREO_A</vt:lpwstr>
      </vt:variant>
      <vt:variant>
        <vt:i4>1376352</vt:i4>
      </vt:variant>
      <vt:variant>
        <vt:i4>1494</vt:i4>
      </vt:variant>
      <vt:variant>
        <vt:i4>0</vt:i4>
      </vt:variant>
      <vt:variant>
        <vt:i4>5</vt:i4>
      </vt:variant>
      <vt:variant>
        <vt:lpwstr/>
      </vt:variant>
      <vt:variant>
        <vt:lpwstr>_7.4_Related_Parties</vt:lpwstr>
      </vt:variant>
      <vt:variant>
        <vt:i4>5570664</vt:i4>
      </vt:variant>
      <vt:variant>
        <vt:i4>1491</vt:i4>
      </vt:variant>
      <vt:variant>
        <vt:i4>0</vt:i4>
      </vt:variant>
      <vt:variant>
        <vt:i4>5</vt:i4>
      </vt:variant>
      <vt:variant>
        <vt:lpwstr/>
      </vt:variant>
      <vt:variant>
        <vt:lpwstr>NoteR_A</vt:lpwstr>
      </vt:variant>
      <vt:variant>
        <vt:i4>5570664</vt:i4>
      </vt:variant>
      <vt:variant>
        <vt:i4>1488</vt:i4>
      </vt:variant>
      <vt:variant>
        <vt:i4>0</vt:i4>
      </vt:variant>
      <vt:variant>
        <vt:i4>5</vt:i4>
      </vt:variant>
      <vt:variant>
        <vt:lpwstr/>
      </vt:variant>
      <vt:variant>
        <vt:lpwstr>NoteR_A</vt:lpwstr>
      </vt:variant>
      <vt:variant>
        <vt:i4>2293772</vt:i4>
      </vt:variant>
      <vt:variant>
        <vt:i4>1485</vt:i4>
      </vt:variant>
      <vt:variant>
        <vt:i4>0</vt:i4>
      </vt:variant>
      <vt:variant>
        <vt:i4>5</vt:i4>
      </vt:variant>
      <vt:variant>
        <vt:lpwstr/>
      </vt:variant>
      <vt:variant>
        <vt:lpwstr>NoteFVP_C</vt:lpwstr>
      </vt:variant>
      <vt:variant>
        <vt:i4>2293772</vt:i4>
      </vt:variant>
      <vt:variant>
        <vt:i4>1482</vt:i4>
      </vt:variant>
      <vt:variant>
        <vt:i4>0</vt:i4>
      </vt:variant>
      <vt:variant>
        <vt:i4>5</vt:i4>
      </vt:variant>
      <vt:variant>
        <vt:lpwstr/>
      </vt:variant>
      <vt:variant>
        <vt:lpwstr>NoteFVP_B</vt:lpwstr>
      </vt:variant>
      <vt:variant>
        <vt:i4>2293772</vt:i4>
      </vt:variant>
      <vt:variant>
        <vt:i4>1479</vt:i4>
      </vt:variant>
      <vt:variant>
        <vt:i4>0</vt:i4>
      </vt:variant>
      <vt:variant>
        <vt:i4>5</vt:i4>
      </vt:variant>
      <vt:variant>
        <vt:lpwstr/>
      </vt:variant>
      <vt:variant>
        <vt:lpwstr>NoteFVP_A</vt:lpwstr>
      </vt:variant>
      <vt:variant>
        <vt:i4>2293772</vt:i4>
      </vt:variant>
      <vt:variant>
        <vt:i4>1476</vt:i4>
      </vt:variant>
      <vt:variant>
        <vt:i4>0</vt:i4>
      </vt:variant>
      <vt:variant>
        <vt:i4>5</vt:i4>
      </vt:variant>
      <vt:variant>
        <vt:lpwstr/>
      </vt:variant>
      <vt:variant>
        <vt:lpwstr>NoteFVP_C</vt:lpwstr>
      </vt:variant>
      <vt:variant>
        <vt:i4>2293772</vt:i4>
      </vt:variant>
      <vt:variant>
        <vt:i4>1473</vt:i4>
      </vt:variant>
      <vt:variant>
        <vt:i4>0</vt:i4>
      </vt:variant>
      <vt:variant>
        <vt:i4>5</vt:i4>
      </vt:variant>
      <vt:variant>
        <vt:lpwstr/>
      </vt:variant>
      <vt:variant>
        <vt:lpwstr>NoteFVP_B</vt:lpwstr>
      </vt:variant>
      <vt:variant>
        <vt:i4>2293772</vt:i4>
      </vt:variant>
      <vt:variant>
        <vt:i4>1470</vt:i4>
      </vt:variant>
      <vt:variant>
        <vt:i4>0</vt:i4>
      </vt:variant>
      <vt:variant>
        <vt:i4>5</vt:i4>
      </vt:variant>
      <vt:variant>
        <vt:lpwstr/>
      </vt:variant>
      <vt:variant>
        <vt:lpwstr>NoteFVP_A</vt:lpwstr>
      </vt:variant>
      <vt:variant>
        <vt:i4>3407876</vt:i4>
      </vt:variant>
      <vt:variant>
        <vt:i4>1467</vt:i4>
      </vt:variant>
      <vt:variant>
        <vt:i4>0</vt:i4>
      </vt:variant>
      <vt:variant>
        <vt:i4>5</vt:i4>
      </vt:variant>
      <vt:variant>
        <vt:lpwstr/>
      </vt:variant>
      <vt:variant>
        <vt:lpwstr>NoteRAL_A</vt:lpwstr>
      </vt:variant>
      <vt:variant>
        <vt:i4>3407876</vt:i4>
      </vt:variant>
      <vt:variant>
        <vt:i4>1464</vt:i4>
      </vt:variant>
      <vt:variant>
        <vt:i4>0</vt:i4>
      </vt:variant>
      <vt:variant>
        <vt:i4>5</vt:i4>
      </vt:variant>
      <vt:variant>
        <vt:lpwstr/>
      </vt:variant>
      <vt:variant>
        <vt:lpwstr>NoteRAL_A</vt:lpwstr>
      </vt:variant>
      <vt:variant>
        <vt:i4>3407876</vt:i4>
      </vt:variant>
      <vt:variant>
        <vt:i4>1461</vt:i4>
      </vt:variant>
      <vt:variant>
        <vt:i4>0</vt:i4>
      </vt:variant>
      <vt:variant>
        <vt:i4>5</vt:i4>
      </vt:variant>
      <vt:variant>
        <vt:lpwstr/>
      </vt:variant>
      <vt:variant>
        <vt:lpwstr>NoteRAL_A</vt:lpwstr>
      </vt:variant>
      <vt:variant>
        <vt:i4>3407876</vt:i4>
      </vt:variant>
      <vt:variant>
        <vt:i4>1458</vt:i4>
      </vt:variant>
      <vt:variant>
        <vt:i4>0</vt:i4>
      </vt:variant>
      <vt:variant>
        <vt:i4>5</vt:i4>
      </vt:variant>
      <vt:variant>
        <vt:lpwstr/>
      </vt:variant>
      <vt:variant>
        <vt:lpwstr>NoteRAL_A</vt:lpwstr>
      </vt:variant>
      <vt:variant>
        <vt:i4>6422556</vt:i4>
      </vt:variant>
      <vt:variant>
        <vt:i4>1455</vt:i4>
      </vt:variant>
      <vt:variant>
        <vt:i4>0</vt:i4>
      </vt:variant>
      <vt:variant>
        <vt:i4>5</vt:i4>
      </vt:variant>
      <vt:variant>
        <vt:lpwstr/>
      </vt:variant>
      <vt:variant>
        <vt:lpwstr>_7.8_Prospective_accounting</vt:lpwstr>
      </vt:variant>
      <vt:variant>
        <vt:i4>5963836</vt:i4>
      </vt:variant>
      <vt:variant>
        <vt:i4>1452</vt:i4>
      </vt:variant>
      <vt:variant>
        <vt:i4>0</vt:i4>
      </vt:variant>
      <vt:variant>
        <vt:i4>5</vt:i4>
      </vt:variant>
      <vt:variant>
        <vt:lpwstr/>
      </vt:variant>
      <vt:variant>
        <vt:lpwstr>_7.7_Subsequent_events</vt:lpwstr>
      </vt:variant>
      <vt:variant>
        <vt:i4>3145736</vt:i4>
      </vt:variant>
      <vt:variant>
        <vt:i4>1449</vt:i4>
      </vt:variant>
      <vt:variant>
        <vt:i4>0</vt:i4>
      </vt:variant>
      <vt:variant>
        <vt:i4>5</vt:i4>
      </vt:variant>
      <vt:variant>
        <vt:lpwstr/>
      </vt:variant>
      <vt:variant>
        <vt:lpwstr>_7.6_Ex-gratia_expenses</vt:lpwstr>
      </vt:variant>
      <vt:variant>
        <vt:i4>2293842</vt:i4>
      </vt:variant>
      <vt:variant>
        <vt:i4>1446</vt:i4>
      </vt:variant>
      <vt:variant>
        <vt:i4>0</vt:i4>
      </vt:variant>
      <vt:variant>
        <vt:i4>5</vt:i4>
      </vt:variant>
      <vt:variant>
        <vt:lpwstr/>
      </vt:variant>
      <vt:variant>
        <vt:lpwstr>_7.5_Remuneration_of</vt:lpwstr>
      </vt:variant>
      <vt:variant>
        <vt:i4>1376352</vt:i4>
      </vt:variant>
      <vt:variant>
        <vt:i4>1443</vt:i4>
      </vt:variant>
      <vt:variant>
        <vt:i4>0</vt:i4>
      </vt:variant>
      <vt:variant>
        <vt:i4>5</vt:i4>
      </vt:variant>
      <vt:variant>
        <vt:lpwstr/>
      </vt:variant>
      <vt:variant>
        <vt:lpwstr>_7.4_Related_Parties</vt:lpwstr>
      </vt:variant>
      <vt:variant>
        <vt:i4>2424914</vt:i4>
      </vt:variant>
      <vt:variant>
        <vt:i4>1440</vt:i4>
      </vt:variant>
      <vt:variant>
        <vt:i4>0</vt:i4>
      </vt:variant>
      <vt:variant>
        <vt:i4>5</vt:i4>
      </vt:variant>
      <vt:variant>
        <vt:lpwstr/>
      </vt:variant>
      <vt:variant>
        <vt:lpwstr>_7.3_Remuneration_of</vt:lpwstr>
      </vt:variant>
      <vt:variant>
        <vt:i4>65655</vt:i4>
      </vt:variant>
      <vt:variant>
        <vt:i4>1437</vt:i4>
      </vt:variant>
      <vt:variant>
        <vt:i4>0</vt:i4>
      </vt:variant>
      <vt:variant>
        <vt:i4>5</vt:i4>
      </vt:variant>
      <vt:variant>
        <vt:lpwstr/>
      </vt:variant>
      <vt:variant>
        <vt:lpwstr>_7.2_Responsible_persons</vt:lpwstr>
      </vt:variant>
      <vt:variant>
        <vt:i4>2621527</vt:i4>
      </vt:variant>
      <vt:variant>
        <vt:i4>1434</vt:i4>
      </vt:variant>
      <vt:variant>
        <vt:i4>0</vt:i4>
      </vt:variant>
      <vt:variant>
        <vt:i4>5</vt:i4>
      </vt:variant>
      <vt:variant>
        <vt:lpwstr/>
      </vt:variant>
      <vt:variant>
        <vt:lpwstr>_7.1_Superannuation_-</vt:lpwstr>
      </vt:variant>
      <vt:variant>
        <vt:i4>6684743</vt:i4>
      </vt:variant>
      <vt:variant>
        <vt:i4>1431</vt:i4>
      </vt:variant>
      <vt:variant>
        <vt:i4>0</vt:i4>
      </vt:variant>
      <vt:variant>
        <vt:i4>5</vt:i4>
      </vt:variant>
      <vt:variant>
        <vt:lpwstr/>
      </vt:variant>
      <vt:variant>
        <vt:lpwstr>NoteCAAL_A</vt:lpwstr>
      </vt:variant>
      <vt:variant>
        <vt:i4>2555926</vt:i4>
      </vt:variant>
      <vt:variant>
        <vt:i4>1428</vt:i4>
      </vt:variant>
      <vt:variant>
        <vt:i4>0</vt:i4>
      </vt:variant>
      <vt:variant>
        <vt:i4>5</vt:i4>
      </vt:variant>
      <vt:variant>
        <vt:lpwstr/>
      </vt:variant>
      <vt:variant>
        <vt:lpwstr>NoteIRE_A</vt:lpwstr>
      </vt:variant>
      <vt:variant>
        <vt:i4>5373996</vt:i4>
      </vt:variant>
      <vt:variant>
        <vt:i4>1425</vt:i4>
      </vt:variant>
      <vt:variant>
        <vt:i4>0</vt:i4>
      </vt:variant>
      <vt:variant>
        <vt:i4>5</vt:i4>
      </vt:variant>
      <vt:variant>
        <vt:lpwstr/>
      </vt:variant>
      <vt:variant>
        <vt:lpwstr>_6.3_Contingent_assets</vt:lpwstr>
      </vt:variant>
      <vt:variant>
        <vt:i4>4194343</vt:i4>
      </vt:variant>
      <vt:variant>
        <vt:i4>1422</vt:i4>
      </vt:variant>
      <vt:variant>
        <vt:i4>0</vt:i4>
      </vt:variant>
      <vt:variant>
        <vt:i4>5</vt:i4>
      </vt:variant>
      <vt:variant>
        <vt:lpwstr/>
      </vt:variant>
      <vt:variant>
        <vt:lpwstr>_6.2_Fair_value</vt:lpwstr>
      </vt:variant>
      <vt:variant>
        <vt:i4>8126469</vt:i4>
      </vt:variant>
      <vt:variant>
        <vt:i4>1419</vt:i4>
      </vt:variant>
      <vt:variant>
        <vt:i4>0</vt:i4>
      </vt:variant>
      <vt:variant>
        <vt:i4>5</vt:i4>
      </vt:variant>
      <vt:variant>
        <vt:lpwstr/>
      </vt:variant>
      <vt:variant>
        <vt:lpwstr>_6.1_Financial_instruments</vt:lpwstr>
      </vt:variant>
      <vt:variant>
        <vt:i4>3538949</vt:i4>
      </vt:variant>
      <vt:variant>
        <vt:i4>1416</vt:i4>
      </vt:variant>
      <vt:variant>
        <vt:i4>0</vt:i4>
      </vt:variant>
      <vt:variant>
        <vt:i4>5</vt:i4>
      </vt:variant>
      <vt:variant>
        <vt:lpwstr/>
      </vt:variant>
      <vt:variant>
        <vt:lpwstr>NoteOCP_A</vt:lpwstr>
      </vt:variant>
      <vt:variant>
        <vt:i4>3211292</vt:i4>
      </vt:variant>
      <vt:variant>
        <vt:i4>1413</vt:i4>
      </vt:variant>
      <vt:variant>
        <vt:i4>0</vt:i4>
      </vt:variant>
      <vt:variant>
        <vt:i4>5</vt:i4>
      </vt:variant>
      <vt:variant>
        <vt:lpwstr/>
      </vt:variant>
      <vt:variant>
        <vt:lpwstr>NoteVDP_A</vt:lpwstr>
      </vt:variant>
      <vt:variant>
        <vt:i4>4063326</vt:i4>
      </vt:variant>
      <vt:variant>
        <vt:i4>1410</vt:i4>
      </vt:variant>
      <vt:variant>
        <vt:i4>0</vt:i4>
      </vt:variant>
      <vt:variant>
        <vt:i4>5</vt:i4>
      </vt:variant>
      <vt:variant>
        <vt:lpwstr/>
      </vt:variant>
      <vt:variant>
        <vt:lpwstr>_5.1_Interest_bearing</vt:lpwstr>
      </vt:variant>
      <vt:variant>
        <vt:i4>3211292</vt:i4>
      </vt:variant>
      <vt:variant>
        <vt:i4>1407</vt:i4>
      </vt:variant>
      <vt:variant>
        <vt:i4>0</vt:i4>
      </vt:variant>
      <vt:variant>
        <vt:i4>5</vt:i4>
      </vt:variant>
      <vt:variant>
        <vt:lpwstr/>
      </vt:variant>
      <vt:variant>
        <vt:lpwstr>NoteVDP_A</vt:lpwstr>
      </vt:variant>
      <vt:variant>
        <vt:i4>4063326</vt:i4>
      </vt:variant>
      <vt:variant>
        <vt:i4>1404</vt:i4>
      </vt:variant>
      <vt:variant>
        <vt:i4>0</vt:i4>
      </vt:variant>
      <vt:variant>
        <vt:i4>5</vt:i4>
      </vt:variant>
      <vt:variant>
        <vt:lpwstr/>
      </vt:variant>
      <vt:variant>
        <vt:lpwstr>_5.1_Interest_bearing</vt:lpwstr>
      </vt:variant>
      <vt:variant>
        <vt:i4>1114185</vt:i4>
      </vt:variant>
      <vt:variant>
        <vt:i4>1401</vt:i4>
      </vt:variant>
      <vt:variant>
        <vt:i4>0</vt:i4>
      </vt:variant>
      <vt:variant>
        <vt:i4>5</vt:i4>
      </vt:variant>
      <vt:variant>
        <vt:lpwstr/>
      </vt:variant>
      <vt:variant>
        <vt:lpwstr>_5.3_Commitments</vt:lpwstr>
      </vt:variant>
      <vt:variant>
        <vt:i4>5439534</vt:i4>
      </vt:variant>
      <vt:variant>
        <vt:i4>1398</vt:i4>
      </vt:variant>
      <vt:variant>
        <vt:i4>0</vt:i4>
      </vt:variant>
      <vt:variant>
        <vt:i4>5</vt:i4>
      </vt:variant>
      <vt:variant>
        <vt:lpwstr/>
      </vt:variant>
      <vt:variant>
        <vt:lpwstr>_5.2_Cash_flow</vt:lpwstr>
      </vt:variant>
      <vt:variant>
        <vt:i4>4063326</vt:i4>
      </vt:variant>
      <vt:variant>
        <vt:i4>1395</vt:i4>
      </vt:variant>
      <vt:variant>
        <vt:i4>0</vt:i4>
      </vt:variant>
      <vt:variant>
        <vt:i4>5</vt:i4>
      </vt:variant>
      <vt:variant>
        <vt:lpwstr/>
      </vt:variant>
      <vt:variant>
        <vt:lpwstr>_5.1_Interest_bearing</vt:lpwstr>
      </vt:variant>
      <vt:variant>
        <vt:i4>7536649</vt:i4>
      </vt:variant>
      <vt:variant>
        <vt:i4>1392</vt:i4>
      </vt:variant>
      <vt:variant>
        <vt:i4>0</vt:i4>
      </vt:variant>
      <vt:variant>
        <vt:i4>5</vt:i4>
      </vt:variant>
      <vt:variant>
        <vt:lpwstr/>
      </vt:variant>
      <vt:variant>
        <vt:lpwstr>_4.1.2_Fair_value</vt:lpwstr>
      </vt:variant>
      <vt:variant>
        <vt:i4>6881292</vt:i4>
      </vt:variant>
      <vt:variant>
        <vt:i4>1389</vt:i4>
      </vt:variant>
      <vt:variant>
        <vt:i4>0</vt:i4>
      </vt:variant>
      <vt:variant>
        <vt:i4>5</vt:i4>
      </vt:variant>
      <vt:variant>
        <vt:lpwstr/>
      </vt:variant>
      <vt:variant>
        <vt:lpwstr>_4.1.1_Reconciliation_of</vt:lpwstr>
      </vt:variant>
      <vt:variant>
        <vt:i4>6750302</vt:i4>
      </vt:variant>
      <vt:variant>
        <vt:i4>1386</vt:i4>
      </vt:variant>
      <vt:variant>
        <vt:i4>0</vt:i4>
      </vt:variant>
      <vt:variant>
        <vt:i4>5</vt:i4>
      </vt:variant>
      <vt:variant>
        <vt:lpwstr/>
      </vt:variant>
      <vt:variant>
        <vt:lpwstr>NoteRMIA_A</vt:lpwstr>
      </vt:variant>
      <vt:variant>
        <vt:i4>131119</vt:i4>
      </vt:variant>
      <vt:variant>
        <vt:i4>1383</vt:i4>
      </vt:variant>
      <vt:variant>
        <vt:i4>0</vt:i4>
      </vt:variant>
      <vt:variant>
        <vt:i4>5</vt:i4>
      </vt:variant>
      <vt:variant>
        <vt:lpwstr/>
      </vt:variant>
      <vt:variant>
        <vt:lpwstr>_4.3_Non-financial_assets</vt:lpwstr>
      </vt:variant>
      <vt:variant>
        <vt:i4>6553665</vt:i4>
      </vt:variant>
      <vt:variant>
        <vt:i4>1380</vt:i4>
      </vt:variant>
      <vt:variant>
        <vt:i4>0</vt:i4>
      </vt:variant>
      <vt:variant>
        <vt:i4>5</vt:i4>
      </vt:variant>
      <vt:variant>
        <vt:lpwstr/>
      </vt:variant>
      <vt:variant>
        <vt:lpwstr>_4.1.2.1_Non-financial_physical</vt:lpwstr>
      </vt:variant>
      <vt:variant>
        <vt:i4>7995456</vt:i4>
      </vt:variant>
      <vt:variant>
        <vt:i4>1377</vt:i4>
      </vt:variant>
      <vt:variant>
        <vt:i4>0</vt:i4>
      </vt:variant>
      <vt:variant>
        <vt:i4>5</vt:i4>
      </vt:variant>
      <vt:variant>
        <vt:lpwstr/>
      </vt:variant>
      <vt:variant>
        <vt:lpwstr>_3.10_Other_current</vt:lpwstr>
      </vt:variant>
      <vt:variant>
        <vt:i4>3735643</vt:i4>
      </vt:variant>
      <vt:variant>
        <vt:i4>1374</vt:i4>
      </vt:variant>
      <vt:variant>
        <vt:i4>0</vt:i4>
      </vt:variant>
      <vt:variant>
        <vt:i4>5</vt:i4>
      </vt:variant>
      <vt:variant>
        <vt:lpwstr/>
      </vt:variant>
      <vt:variant>
        <vt:lpwstr>NoteRL3_A</vt:lpwstr>
      </vt:variant>
      <vt:variant>
        <vt:i4>3735643</vt:i4>
      </vt:variant>
      <vt:variant>
        <vt:i4>1371</vt:i4>
      </vt:variant>
      <vt:variant>
        <vt:i4>0</vt:i4>
      </vt:variant>
      <vt:variant>
        <vt:i4>5</vt:i4>
      </vt:variant>
      <vt:variant>
        <vt:lpwstr/>
      </vt:variant>
      <vt:variant>
        <vt:lpwstr>NoteRL3_A</vt:lpwstr>
      </vt:variant>
      <vt:variant>
        <vt:i4>6815832</vt:i4>
      </vt:variant>
      <vt:variant>
        <vt:i4>1368</vt:i4>
      </vt:variant>
      <vt:variant>
        <vt:i4>0</vt:i4>
      </vt:variant>
      <vt:variant>
        <vt:i4>5</vt:i4>
      </vt:variant>
      <vt:variant>
        <vt:lpwstr/>
      </vt:variant>
      <vt:variant>
        <vt:lpwstr>NoteNFPA2017_B</vt:lpwstr>
      </vt:variant>
      <vt:variant>
        <vt:i4>7012440</vt:i4>
      </vt:variant>
      <vt:variant>
        <vt:i4>1365</vt:i4>
      </vt:variant>
      <vt:variant>
        <vt:i4>0</vt:i4>
      </vt:variant>
      <vt:variant>
        <vt:i4>5</vt:i4>
      </vt:variant>
      <vt:variant>
        <vt:lpwstr/>
      </vt:variant>
      <vt:variant>
        <vt:lpwstr>NoteNFPA2017_A</vt:lpwstr>
      </vt:variant>
      <vt:variant>
        <vt:i4>6815832</vt:i4>
      </vt:variant>
      <vt:variant>
        <vt:i4>1362</vt:i4>
      </vt:variant>
      <vt:variant>
        <vt:i4>0</vt:i4>
      </vt:variant>
      <vt:variant>
        <vt:i4>5</vt:i4>
      </vt:variant>
      <vt:variant>
        <vt:lpwstr/>
      </vt:variant>
      <vt:variant>
        <vt:lpwstr>NoteNFPA2017_B</vt:lpwstr>
      </vt:variant>
      <vt:variant>
        <vt:i4>7012440</vt:i4>
      </vt:variant>
      <vt:variant>
        <vt:i4>1359</vt:i4>
      </vt:variant>
      <vt:variant>
        <vt:i4>0</vt:i4>
      </vt:variant>
      <vt:variant>
        <vt:i4>5</vt:i4>
      </vt:variant>
      <vt:variant>
        <vt:lpwstr/>
      </vt:variant>
      <vt:variant>
        <vt:lpwstr>NoteNFPA2017_A</vt:lpwstr>
      </vt:variant>
      <vt:variant>
        <vt:i4>7012440</vt:i4>
      </vt:variant>
      <vt:variant>
        <vt:i4>1356</vt:i4>
      </vt:variant>
      <vt:variant>
        <vt:i4>0</vt:i4>
      </vt:variant>
      <vt:variant>
        <vt:i4>5</vt:i4>
      </vt:variant>
      <vt:variant>
        <vt:lpwstr/>
      </vt:variant>
      <vt:variant>
        <vt:lpwstr>NoteNFPA2017_A</vt:lpwstr>
      </vt:variant>
      <vt:variant>
        <vt:i4>7012440</vt:i4>
      </vt:variant>
      <vt:variant>
        <vt:i4>1353</vt:i4>
      </vt:variant>
      <vt:variant>
        <vt:i4>0</vt:i4>
      </vt:variant>
      <vt:variant>
        <vt:i4>5</vt:i4>
      </vt:variant>
      <vt:variant>
        <vt:lpwstr/>
      </vt:variant>
      <vt:variant>
        <vt:lpwstr>NoteNFPA2017_A</vt:lpwstr>
      </vt:variant>
      <vt:variant>
        <vt:i4>7012440</vt:i4>
      </vt:variant>
      <vt:variant>
        <vt:i4>1350</vt:i4>
      </vt:variant>
      <vt:variant>
        <vt:i4>0</vt:i4>
      </vt:variant>
      <vt:variant>
        <vt:i4>5</vt:i4>
      </vt:variant>
      <vt:variant>
        <vt:lpwstr/>
      </vt:variant>
      <vt:variant>
        <vt:lpwstr>NoteNFPA2017_A</vt:lpwstr>
      </vt:variant>
      <vt:variant>
        <vt:i4>7077979</vt:i4>
      </vt:variant>
      <vt:variant>
        <vt:i4>1347</vt:i4>
      </vt:variant>
      <vt:variant>
        <vt:i4>0</vt:i4>
      </vt:variant>
      <vt:variant>
        <vt:i4>5</vt:i4>
      </vt:variant>
      <vt:variant>
        <vt:lpwstr/>
      </vt:variant>
      <vt:variant>
        <vt:lpwstr>NoteNFPA_A</vt:lpwstr>
      </vt:variant>
      <vt:variant>
        <vt:i4>7077979</vt:i4>
      </vt:variant>
      <vt:variant>
        <vt:i4>1344</vt:i4>
      </vt:variant>
      <vt:variant>
        <vt:i4>0</vt:i4>
      </vt:variant>
      <vt:variant>
        <vt:i4>5</vt:i4>
      </vt:variant>
      <vt:variant>
        <vt:lpwstr/>
      </vt:variant>
      <vt:variant>
        <vt:lpwstr>NoteNFPA_A</vt:lpwstr>
      </vt:variant>
      <vt:variant>
        <vt:i4>7077979</vt:i4>
      </vt:variant>
      <vt:variant>
        <vt:i4>1341</vt:i4>
      </vt:variant>
      <vt:variant>
        <vt:i4>0</vt:i4>
      </vt:variant>
      <vt:variant>
        <vt:i4>5</vt:i4>
      </vt:variant>
      <vt:variant>
        <vt:lpwstr/>
      </vt:variant>
      <vt:variant>
        <vt:lpwstr>NoteNFPA_A</vt:lpwstr>
      </vt:variant>
      <vt:variant>
        <vt:i4>5963884</vt:i4>
      </vt:variant>
      <vt:variant>
        <vt:i4>1338</vt:i4>
      </vt:variant>
      <vt:variant>
        <vt:i4>0</vt:i4>
      </vt:variant>
      <vt:variant>
        <vt:i4>5</vt:i4>
      </vt:variant>
      <vt:variant>
        <vt:lpwstr/>
      </vt:variant>
      <vt:variant>
        <vt:lpwstr>NoteAASOD_A</vt:lpwstr>
      </vt:variant>
      <vt:variant>
        <vt:i4>4849703</vt:i4>
      </vt:variant>
      <vt:variant>
        <vt:i4>1335</vt:i4>
      </vt:variant>
      <vt:variant>
        <vt:i4>0</vt:i4>
      </vt:variant>
      <vt:variant>
        <vt:i4>5</vt:i4>
      </vt:variant>
      <vt:variant>
        <vt:lpwstr/>
      </vt:variant>
      <vt:variant>
        <vt:lpwstr>_4.2_Intangible_assets</vt:lpwstr>
      </vt:variant>
      <vt:variant>
        <vt:i4>4849703</vt:i4>
      </vt:variant>
      <vt:variant>
        <vt:i4>1332</vt:i4>
      </vt:variant>
      <vt:variant>
        <vt:i4>0</vt:i4>
      </vt:variant>
      <vt:variant>
        <vt:i4>5</vt:i4>
      </vt:variant>
      <vt:variant>
        <vt:lpwstr/>
      </vt:variant>
      <vt:variant>
        <vt:lpwstr>_4.2_Intangible_assets</vt:lpwstr>
      </vt:variant>
      <vt:variant>
        <vt:i4>4653178</vt:i4>
      </vt:variant>
      <vt:variant>
        <vt:i4>1329</vt:i4>
      </vt:variant>
      <vt:variant>
        <vt:i4>0</vt:i4>
      </vt:variant>
      <vt:variant>
        <vt:i4>5</vt:i4>
      </vt:variant>
      <vt:variant>
        <vt:lpwstr/>
      </vt:variant>
      <vt:variant>
        <vt:lpwstr>NoteLBIPE_C</vt:lpwstr>
      </vt:variant>
      <vt:variant>
        <vt:i4>4653178</vt:i4>
      </vt:variant>
      <vt:variant>
        <vt:i4>1326</vt:i4>
      </vt:variant>
      <vt:variant>
        <vt:i4>0</vt:i4>
      </vt:variant>
      <vt:variant>
        <vt:i4>5</vt:i4>
      </vt:variant>
      <vt:variant>
        <vt:lpwstr/>
      </vt:variant>
      <vt:variant>
        <vt:lpwstr>NoteLBIPE_D</vt:lpwstr>
      </vt:variant>
      <vt:variant>
        <vt:i4>4653178</vt:i4>
      </vt:variant>
      <vt:variant>
        <vt:i4>1323</vt:i4>
      </vt:variant>
      <vt:variant>
        <vt:i4>0</vt:i4>
      </vt:variant>
      <vt:variant>
        <vt:i4>5</vt:i4>
      </vt:variant>
      <vt:variant>
        <vt:lpwstr/>
      </vt:variant>
      <vt:variant>
        <vt:lpwstr>NoteLBIPE_B</vt:lpwstr>
      </vt:variant>
      <vt:variant>
        <vt:i4>4653178</vt:i4>
      </vt:variant>
      <vt:variant>
        <vt:i4>1320</vt:i4>
      </vt:variant>
      <vt:variant>
        <vt:i4>0</vt:i4>
      </vt:variant>
      <vt:variant>
        <vt:i4>5</vt:i4>
      </vt:variant>
      <vt:variant>
        <vt:lpwstr/>
      </vt:variant>
      <vt:variant>
        <vt:lpwstr>NoteLBIPE_C</vt:lpwstr>
      </vt:variant>
      <vt:variant>
        <vt:i4>4653178</vt:i4>
      </vt:variant>
      <vt:variant>
        <vt:i4>1317</vt:i4>
      </vt:variant>
      <vt:variant>
        <vt:i4>0</vt:i4>
      </vt:variant>
      <vt:variant>
        <vt:i4>5</vt:i4>
      </vt:variant>
      <vt:variant>
        <vt:lpwstr/>
      </vt:variant>
      <vt:variant>
        <vt:lpwstr>NoteLBIPE_A</vt:lpwstr>
      </vt:variant>
      <vt:variant>
        <vt:i4>4653178</vt:i4>
      </vt:variant>
      <vt:variant>
        <vt:i4>1314</vt:i4>
      </vt:variant>
      <vt:variant>
        <vt:i4>0</vt:i4>
      </vt:variant>
      <vt:variant>
        <vt:i4>5</vt:i4>
      </vt:variant>
      <vt:variant>
        <vt:lpwstr/>
      </vt:variant>
      <vt:variant>
        <vt:lpwstr>NoteLBIPE_B</vt:lpwstr>
      </vt:variant>
      <vt:variant>
        <vt:i4>4653178</vt:i4>
      </vt:variant>
      <vt:variant>
        <vt:i4>1311</vt:i4>
      </vt:variant>
      <vt:variant>
        <vt:i4>0</vt:i4>
      </vt:variant>
      <vt:variant>
        <vt:i4>5</vt:i4>
      </vt:variant>
      <vt:variant>
        <vt:lpwstr/>
      </vt:variant>
      <vt:variant>
        <vt:lpwstr>NoteLBIPE_A</vt:lpwstr>
      </vt:variant>
      <vt:variant>
        <vt:i4>131119</vt:i4>
      </vt:variant>
      <vt:variant>
        <vt:i4>1308</vt:i4>
      </vt:variant>
      <vt:variant>
        <vt:i4>0</vt:i4>
      </vt:variant>
      <vt:variant>
        <vt:i4>5</vt:i4>
      </vt:variant>
      <vt:variant>
        <vt:lpwstr/>
      </vt:variant>
      <vt:variant>
        <vt:lpwstr>_4.3_Non-financial_assets</vt:lpwstr>
      </vt:variant>
      <vt:variant>
        <vt:i4>4849703</vt:i4>
      </vt:variant>
      <vt:variant>
        <vt:i4>1305</vt:i4>
      </vt:variant>
      <vt:variant>
        <vt:i4>0</vt:i4>
      </vt:variant>
      <vt:variant>
        <vt:i4>5</vt:i4>
      </vt:variant>
      <vt:variant>
        <vt:lpwstr/>
      </vt:variant>
      <vt:variant>
        <vt:lpwstr>_4.2_Intangible_assets</vt:lpwstr>
      </vt:variant>
      <vt:variant>
        <vt:i4>5832803</vt:i4>
      </vt:variant>
      <vt:variant>
        <vt:i4>1302</vt:i4>
      </vt:variant>
      <vt:variant>
        <vt:i4>0</vt:i4>
      </vt:variant>
      <vt:variant>
        <vt:i4>5</vt:i4>
      </vt:variant>
      <vt:variant>
        <vt:lpwstr/>
      </vt:variant>
      <vt:variant>
        <vt:lpwstr>_4.1_Land,_buildings,</vt:lpwstr>
      </vt:variant>
      <vt:variant>
        <vt:i4>917546</vt:i4>
      </vt:variant>
      <vt:variant>
        <vt:i4>1299</vt:i4>
      </vt:variant>
      <vt:variant>
        <vt:i4>0</vt:i4>
      </vt:variant>
      <vt:variant>
        <vt:i4>5</vt:i4>
      </vt:variant>
      <vt:variant>
        <vt:lpwstr/>
      </vt:variant>
      <vt:variant>
        <vt:lpwstr>NoteOE_A</vt:lpwstr>
      </vt:variant>
      <vt:variant>
        <vt:i4>917546</vt:i4>
      </vt:variant>
      <vt:variant>
        <vt:i4>1296</vt:i4>
      </vt:variant>
      <vt:variant>
        <vt:i4>0</vt:i4>
      </vt:variant>
      <vt:variant>
        <vt:i4>5</vt:i4>
      </vt:variant>
      <vt:variant>
        <vt:lpwstr/>
      </vt:variant>
      <vt:variant>
        <vt:lpwstr>NoteOE_A</vt:lpwstr>
      </vt:variant>
      <vt:variant>
        <vt:i4>3538993</vt:i4>
      </vt:variant>
      <vt:variant>
        <vt:i4>1293</vt:i4>
      </vt:variant>
      <vt:variant>
        <vt:i4>0</vt:i4>
      </vt:variant>
      <vt:variant>
        <vt:i4>5</vt:i4>
      </vt:variant>
      <vt:variant>
        <vt:lpwstr/>
      </vt:variant>
      <vt:variant>
        <vt:lpwstr>_3.11_Provisions</vt:lpwstr>
      </vt:variant>
      <vt:variant>
        <vt:i4>7995456</vt:i4>
      </vt:variant>
      <vt:variant>
        <vt:i4>1290</vt:i4>
      </vt:variant>
      <vt:variant>
        <vt:i4>0</vt:i4>
      </vt:variant>
      <vt:variant>
        <vt:i4>5</vt:i4>
      </vt:variant>
      <vt:variant>
        <vt:lpwstr/>
      </vt:variant>
      <vt:variant>
        <vt:lpwstr>_3.10_Other_current</vt:lpwstr>
      </vt:variant>
      <vt:variant>
        <vt:i4>8323081</vt:i4>
      </vt:variant>
      <vt:variant>
        <vt:i4>1287</vt:i4>
      </vt:variant>
      <vt:variant>
        <vt:i4>0</vt:i4>
      </vt:variant>
      <vt:variant>
        <vt:i4>5</vt:i4>
      </vt:variant>
      <vt:variant>
        <vt:lpwstr/>
      </vt:variant>
      <vt:variant>
        <vt:lpwstr>_3.9_Trade_and</vt:lpwstr>
      </vt:variant>
      <vt:variant>
        <vt:i4>6094891</vt:i4>
      </vt:variant>
      <vt:variant>
        <vt:i4>1284</vt:i4>
      </vt:variant>
      <vt:variant>
        <vt:i4>0</vt:i4>
      </vt:variant>
      <vt:variant>
        <vt:i4>5</vt:i4>
      </vt:variant>
      <vt:variant>
        <vt:lpwstr/>
      </vt:variant>
      <vt:variant>
        <vt:lpwstr>_3.8_Income_and</vt:lpwstr>
      </vt:variant>
      <vt:variant>
        <vt:i4>7274510</vt:i4>
      </vt:variant>
      <vt:variant>
        <vt:i4>1281</vt:i4>
      </vt:variant>
      <vt:variant>
        <vt:i4>0</vt:i4>
      </vt:variant>
      <vt:variant>
        <vt:i4>5</vt:i4>
      </vt:variant>
      <vt:variant>
        <vt:lpwstr/>
      </vt:variant>
      <vt:variant>
        <vt:lpwstr>_3.7_Other_expenses</vt:lpwstr>
      </vt:variant>
      <vt:variant>
        <vt:i4>1245295</vt:i4>
      </vt:variant>
      <vt:variant>
        <vt:i4>1278</vt:i4>
      </vt:variant>
      <vt:variant>
        <vt:i4>0</vt:i4>
      </vt:variant>
      <vt:variant>
        <vt:i4>5</vt:i4>
      </vt:variant>
      <vt:variant>
        <vt:lpwstr/>
      </vt:variant>
      <vt:variant>
        <vt:lpwstr>_3.6_Asset_transfers</vt:lpwstr>
      </vt:variant>
      <vt:variant>
        <vt:i4>3997789</vt:i4>
      </vt:variant>
      <vt:variant>
        <vt:i4>1275</vt:i4>
      </vt:variant>
      <vt:variant>
        <vt:i4>0</vt:i4>
      </vt:variant>
      <vt:variant>
        <vt:i4>5</vt:i4>
      </vt:variant>
      <vt:variant>
        <vt:lpwstr/>
      </vt:variant>
      <vt:variant>
        <vt:lpwstr>_3.5_Government_rates</vt:lpwstr>
      </vt:variant>
      <vt:variant>
        <vt:i4>2359373</vt:i4>
      </vt:variant>
      <vt:variant>
        <vt:i4>1272</vt:i4>
      </vt:variant>
      <vt:variant>
        <vt:i4>0</vt:i4>
      </vt:variant>
      <vt:variant>
        <vt:i4>5</vt:i4>
      </vt:variant>
      <vt:variant>
        <vt:lpwstr/>
      </vt:variant>
      <vt:variant>
        <vt:lpwstr>_3.4_Administrative_expenses</vt:lpwstr>
      </vt:variant>
      <vt:variant>
        <vt:i4>1900649</vt:i4>
      </vt:variant>
      <vt:variant>
        <vt:i4>1269</vt:i4>
      </vt:variant>
      <vt:variant>
        <vt:i4>0</vt:i4>
      </vt:variant>
      <vt:variant>
        <vt:i4>5</vt:i4>
      </vt:variant>
      <vt:variant>
        <vt:lpwstr/>
      </vt:variant>
      <vt:variant>
        <vt:lpwstr>_3.3_Repairs_and</vt:lpwstr>
      </vt:variant>
      <vt:variant>
        <vt:i4>5963821</vt:i4>
      </vt:variant>
      <vt:variant>
        <vt:i4>1266</vt:i4>
      </vt:variant>
      <vt:variant>
        <vt:i4>0</vt:i4>
      </vt:variant>
      <vt:variant>
        <vt:i4>5</vt:i4>
      </vt:variant>
      <vt:variant>
        <vt:lpwstr/>
      </vt:variant>
      <vt:variant>
        <vt:lpwstr>_3.2_Employee_benefits</vt:lpwstr>
      </vt:variant>
      <vt:variant>
        <vt:i4>1835111</vt:i4>
      </vt:variant>
      <vt:variant>
        <vt:i4>1263</vt:i4>
      </vt:variant>
      <vt:variant>
        <vt:i4>0</vt:i4>
      </vt:variant>
      <vt:variant>
        <vt:i4>5</vt:i4>
      </vt:variant>
      <vt:variant>
        <vt:lpwstr/>
      </vt:variant>
      <vt:variant>
        <vt:lpwstr>_3.1_Operational_expenses</vt:lpwstr>
      </vt:variant>
      <vt:variant>
        <vt:i4>458847</vt:i4>
      </vt:variant>
      <vt:variant>
        <vt:i4>1260</vt:i4>
      </vt:variant>
      <vt:variant>
        <vt:i4>0</vt:i4>
      </vt:variant>
      <vt:variant>
        <vt:i4>5</vt:i4>
      </vt:variant>
      <vt:variant>
        <vt:lpwstr/>
      </vt:variant>
      <vt:variant>
        <vt:lpwstr>_2.3_Receivables</vt:lpwstr>
      </vt:variant>
      <vt:variant>
        <vt:i4>1179745</vt:i4>
      </vt:variant>
      <vt:variant>
        <vt:i4>1257</vt:i4>
      </vt:variant>
      <vt:variant>
        <vt:i4>0</vt:i4>
      </vt:variant>
      <vt:variant>
        <vt:i4>5</vt:i4>
      </vt:variant>
      <vt:variant>
        <vt:lpwstr/>
      </vt:variant>
      <vt:variant>
        <vt:lpwstr>_2.2_Other_Income</vt:lpwstr>
      </vt:variant>
      <vt:variant>
        <vt:i4>786523</vt:i4>
      </vt:variant>
      <vt:variant>
        <vt:i4>1254</vt:i4>
      </vt:variant>
      <vt:variant>
        <vt:i4>0</vt:i4>
      </vt:variant>
      <vt:variant>
        <vt:i4>5</vt:i4>
      </vt:variant>
      <vt:variant>
        <vt:lpwstr/>
      </vt:variant>
      <vt:variant>
        <vt:lpwstr>_2.1_Revenue</vt:lpwstr>
      </vt:variant>
      <vt:variant>
        <vt:i4>1114185</vt:i4>
      </vt:variant>
      <vt:variant>
        <vt:i4>1251</vt:i4>
      </vt:variant>
      <vt:variant>
        <vt:i4>0</vt:i4>
      </vt:variant>
      <vt:variant>
        <vt:i4>5</vt:i4>
      </vt:variant>
      <vt:variant>
        <vt:lpwstr/>
      </vt:variant>
      <vt:variant>
        <vt:lpwstr>_5.3_Commitments</vt:lpwstr>
      </vt:variant>
      <vt:variant>
        <vt:i4>5373996</vt:i4>
      </vt:variant>
      <vt:variant>
        <vt:i4>1248</vt:i4>
      </vt:variant>
      <vt:variant>
        <vt:i4>0</vt:i4>
      </vt:variant>
      <vt:variant>
        <vt:i4>5</vt:i4>
      </vt:variant>
      <vt:variant>
        <vt:lpwstr/>
      </vt:variant>
      <vt:variant>
        <vt:lpwstr>_6.3_Contingent_assets</vt:lpwstr>
      </vt:variant>
      <vt:variant>
        <vt:i4>6094891</vt:i4>
      </vt:variant>
      <vt:variant>
        <vt:i4>1245</vt:i4>
      </vt:variant>
      <vt:variant>
        <vt:i4>0</vt:i4>
      </vt:variant>
      <vt:variant>
        <vt:i4>5</vt:i4>
      </vt:variant>
      <vt:variant>
        <vt:lpwstr/>
      </vt:variant>
      <vt:variant>
        <vt:lpwstr>_3.8_Income_and</vt:lpwstr>
      </vt:variant>
      <vt:variant>
        <vt:i4>720947</vt:i4>
      </vt:variant>
      <vt:variant>
        <vt:i4>1242</vt:i4>
      </vt:variant>
      <vt:variant>
        <vt:i4>0</vt:i4>
      </vt:variant>
      <vt:variant>
        <vt:i4>5</vt:i4>
      </vt:variant>
      <vt:variant>
        <vt:lpwstr/>
      </vt:variant>
      <vt:variant>
        <vt:lpwstr>_4.1.3_Depreciation,_amortisation</vt:lpwstr>
      </vt:variant>
      <vt:variant>
        <vt:i4>3538993</vt:i4>
      </vt:variant>
      <vt:variant>
        <vt:i4>1239</vt:i4>
      </vt:variant>
      <vt:variant>
        <vt:i4>0</vt:i4>
      </vt:variant>
      <vt:variant>
        <vt:i4>5</vt:i4>
      </vt:variant>
      <vt:variant>
        <vt:lpwstr/>
      </vt:variant>
      <vt:variant>
        <vt:lpwstr>_3.11_Provisions</vt:lpwstr>
      </vt:variant>
      <vt:variant>
        <vt:i4>5963821</vt:i4>
      </vt:variant>
      <vt:variant>
        <vt:i4>1236</vt:i4>
      </vt:variant>
      <vt:variant>
        <vt:i4>0</vt:i4>
      </vt:variant>
      <vt:variant>
        <vt:i4>5</vt:i4>
      </vt:variant>
      <vt:variant>
        <vt:lpwstr/>
      </vt:variant>
      <vt:variant>
        <vt:lpwstr>_3.2_Employee_benefits</vt:lpwstr>
      </vt:variant>
      <vt:variant>
        <vt:i4>2621527</vt:i4>
      </vt:variant>
      <vt:variant>
        <vt:i4>1233</vt:i4>
      </vt:variant>
      <vt:variant>
        <vt:i4>0</vt:i4>
      </vt:variant>
      <vt:variant>
        <vt:i4>5</vt:i4>
      </vt:variant>
      <vt:variant>
        <vt:lpwstr/>
      </vt:variant>
      <vt:variant>
        <vt:lpwstr>_7.1_Superannuation_-</vt:lpwstr>
      </vt:variant>
      <vt:variant>
        <vt:i4>7536649</vt:i4>
      </vt:variant>
      <vt:variant>
        <vt:i4>1230</vt:i4>
      </vt:variant>
      <vt:variant>
        <vt:i4>0</vt:i4>
      </vt:variant>
      <vt:variant>
        <vt:i4>5</vt:i4>
      </vt:variant>
      <vt:variant>
        <vt:lpwstr/>
      </vt:variant>
      <vt:variant>
        <vt:lpwstr>_4.1.2_Fair_value</vt:lpwstr>
      </vt:variant>
      <vt:variant>
        <vt:i4>917542</vt:i4>
      </vt:variant>
      <vt:variant>
        <vt:i4>1221</vt:i4>
      </vt:variant>
      <vt:variant>
        <vt:i4>0</vt:i4>
      </vt:variant>
      <vt:variant>
        <vt:i4>5</vt:i4>
      </vt:variant>
      <vt:variant>
        <vt:lpwstr/>
      </vt:variant>
      <vt:variant>
        <vt:lpwstr>NoteCF_B</vt:lpwstr>
      </vt:variant>
      <vt:variant>
        <vt:i4>917542</vt:i4>
      </vt:variant>
      <vt:variant>
        <vt:i4>1218</vt:i4>
      </vt:variant>
      <vt:variant>
        <vt:i4>0</vt:i4>
      </vt:variant>
      <vt:variant>
        <vt:i4>5</vt:i4>
      </vt:variant>
      <vt:variant>
        <vt:lpwstr/>
      </vt:variant>
      <vt:variant>
        <vt:lpwstr>NoteCF_B</vt:lpwstr>
      </vt:variant>
      <vt:variant>
        <vt:i4>852006</vt:i4>
      </vt:variant>
      <vt:variant>
        <vt:i4>1215</vt:i4>
      </vt:variant>
      <vt:variant>
        <vt:i4>0</vt:i4>
      </vt:variant>
      <vt:variant>
        <vt:i4>5</vt:i4>
      </vt:variant>
      <vt:variant>
        <vt:lpwstr/>
      </vt:variant>
      <vt:variant>
        <vt:lpwstr>NoteCF_A</vt:lpwstr>
      </vt:variant>
      <vt:variant>
        <vt:i4>3932188</vt:i4>
      </vt:variant>
      <vt:variant>
        <vt:i4>1206</vt:i4>
      </vt:variant>
      <vt:variant>
        <vt:i4>0</vt:i4>
      </vt:variant>
      <vt:variant>
        <vt:i4>5</vt:i4>
      </vt:variant>
      <vt:variant>
        <vt:lpwstr/>
      </vt:variant>
      <vt:variant>
        <vt:lpwstr>NoteCIE_B</vt:lpwstr>
      </vt:variant>
      <vt:variant>
        <vt:i4>3932188</vt:i4>
      </vt:variant>
      <vt:variant>
        <vt:i4>1203</vt:i4>
      </vt:variant>
      <vt:variant>
        <vt:i4>0</vt:i4>
      </vt:variant>
      <vt:variant>
        <vt:i4>5</vt:i4>
      </vt:variant>
      <vt:variant>
        <vt:lpwstr/>
      </vt:variant>
      <vt:variant>
        <vt:lpwstr>NoteCIE_A</vt:lpwstr>
      </vt:variant>
      <vt:variant>
        <vt:i4>3932188</vt:i4>
      </vt:variant>
      <vt:variant>
        <vt:i4>1200</vt:i4>
      </vt:variant>
      <vt:variant>
        <vt:i4>0</vt:i4>
      </vt:variant>
      <vt:variant>
        <vt:i4>5</vt:i4>
      </vt:variant>
      <vt:variant>
        <vt:lpwstr/>
      </vt:variant>
      <vt:variant>
        <vt:lpwstr>NoteCIE_B</vt:lpwstr>
      </vt:variant>
      <vt:variant>
        <vt:i4>3932188</vt:i4>
      </vt:variant>
      <vt:variant>
        <vt:i4>1197</vt:i4>
      </vt:variant>
      <vt:variant>
        <vt:i4>0</vt:i4>
      </vt:variant>
      <vt:variant>
        <vt:i4>5</vt:i4>
      </vt:variant>
      <vt:variant>
        <vt:lpwstr/>
      </vt:variant>
      <vt:variant>
        <vt:lpwstr>NoteCIE_A</vt:lpwstr>
      </vt:variant>
      <vt:variant>
        <vt:i4>1638435</vt:i4>
      </vt:variant>
      <vt:variant>
        <vt:i4>1182</vt:i4>
      </vt:variant>
      <vt:variant>
        <vt:i4>0</vt:i4>
      </vt:variant>
      <vt:variant>
        <vt:i4>5</vt:i4>
      </vt:variant>
      <vt:variant>
        <vt:lpwstr/>
      </vt:variant>
      <vt:variant>
        <vt:lpwstr>NoteFP_C</vt:lpwstr>
      </vt:variant>
      <vt:variant>
        <vt:i4>1638435</vt:i4>
      </vt:variant>
      <vt:variant>
        <vt:i4>1179</vt:i4>
      </vt:variant>
      <vt:variant>
        <vt:i4>0</vt:i4>
      </vt:variant>
      <vt:variant>
        <vt:i4>5</vt:i4>
      </vt:variant>
      <vt:variant>
        <vt:lpwstr/>
      </vt:variant>
      <vt:variant>
        <vt:lpwstr>NoteFP_C</vt:lpwstr>
      </vt:variant>
      <vt:variant>
        <vt:i4>1572899</vt:i4>
      </vt:variant>
      <vt:variant>
        <vt:i4>1176</vt:i4>
      </vt:variant>
      <vt:variant>
        <vt:i4>0</vt:i4>
      </vt:variant>
      <vt:variant>
        <vt:i4>5</vt:i4>
      </vt:variant>
      <vt:variant>
        <vt:lpwstr/>
      </vt:variant>
      <vt:variant>
        <vt:lpwstr>NoteFP_B</vt:lpwstr>
      </vt:variant>
      <vt:variant>
        <vt:i4>1769507</vt:i4>
      </vt:variant>
      <vt:variant>
        <vt:i4>1173</vt:i4>
      </vt:variant>
      <vt:variant>
        <vt:i4>0</vt:i4>
      </vt:variant>
      <vt:variant>
        <vt:i4>5</vt:i4>
      </vt:variant>
      <vt:variant>
        <vt:lpwstr/>
      </vt:variant>
      <vt:variant>
        <vt:lpwstr>NoteFP_A</vt:lpwstr>
      </vt:variant>
      <vt:variant>
        <vt:i4>6422556</vt:i4>
      </vt:variant>
      <vt:variant>
        <vt:i4>1170</vt:i4>
      </vt:variant>
      <vt:variant>
        <vt:i4>0</vt:i4>
      </vt:variant>
      <vt:variant>
        <vt:i4>5</vt:i4>
      </vt:variant>
      <vt:variant>
        <vt:lpwstr/>
      </vt:variant>
      <vt:variant>
        <vt:lpwstr>_7.8_Prospective_accounting</vt:lpwstr>
      </vt:variant>
      <vt:variant>
        <vt:i4>5963836</vt:i4>
      </vt:variant>
      <vt:variant>
        <vt:i4>1167</vt:i4>
      </vt:variant>
      <vt:variant>
        <vt:i4>0</vt:i4>
      </vt:variant>
      <vt:variant>
        <vt:i4>5</vt:i4>
      </vt:variant>
      <vt:variant>
        <vt:lpwstr/>
      </vt:variant>
      <vt:variant>
        <vt:lpwstr>_7.7_Subsequent_events</vt:lpwstr>
      </vt:variant>
      <vt:variant>
        <vt:i4>3145736</vt:i4>
      </vt:variant>
      <vt:variant>
        <vt:i4>1164</vt:i4>
      </vt:variant>
      <vt:variant>
        <vt:i4>0</vt:i4>
      </vt:variant>
      <vt:variant>
        <vt:i4>5</vt:i4>
      </vt:variant>
      <vt:variant>
        <vt:lpwstr/>
      </vt:variant>
      <vt:variant>
        <vt:lpwstr>_7.6_Ex-gratia_expenses</vt:lpwstr>
      </vt:variant>
      <vt:variant>
        <vt:i4>2293842</vt:i4>
      </vt:variant>
      <vt:variant>
        <vt:i4>1161</vt:i4>
      </vt:variant>
      <vt:variant>
        <vt:i4>0</vt:i4>
      </vt:variant>
      <vt:variant>
        <vt:i4>5</vt:i4>
      </vt:variant>
      <vt:variant>
        <vt:lpwstr/>
      </vt:variant>
      <vt:variant>
        <vt:lpwstr>_7.5_Remuneration_of</vt:lpwstr>
      </vt:variant>
      <vt:variant>
        <vt:i4>1376352</vt:i4>
      </vt:variant>
      <vt:variant>
        <vt:i4>1158</vt:i4>
      </vt:variant>
      <vt:variant>
        <vt:i4>0</vt:i4>
      </vt:variant>
      <vt:variant>
        <vt:i4>5</vt:i4>
      </vt:variant>
      <vt:variant>
        <vt:lpwstr/>
      </vt:variant>
      <vt:variant>
        <vt:lpwstr>_7.4_Related_Parties</vt:lpwstr>
      </vt:variant>
      <vt:variant>
        <vt:i4>2424914</vt:i4>
      </vt:variant>
      <vt:variant>
        <vt:i4>1155</vt:i4>
      </vt:variant>
      <vt:variant>
        <vt:i4>0</vt:i4>
      </vt:variant>
      <vt:variant>
        <vt:i4>5</vt:i4>
      </vt:variant>
      <vt:variant>
        <vt:lpwstr/>
      </vt:variant>
      <vt:variant>
        <vt:lpwstr>_7.3_Remuneration_of</vt:lpwstr>
      </vt:variant>
      <vt:variant>
        <vt:i4>65655</vt:i4>
      </vt:variant>
      <vt:variant>
        <vt:i4>1152</vt:i4>
      </vt:variant>
      <vt:variant>
        <vt:i4>0</vt:i4>
      </vt:variant>
      <vt:variant>
        <vt:i4>5</vt:i4>
      </vt:variant>
      <vt:variant>
        <vt:lpwstr/>
      </vt:variant>
      <vt:variant>
        <vt:lpwstr>_7.2_Responsible_persons</vt:lpwstr>
      </vt:variant>
      <vt:variant>
        <vt:i4>2621527</vt:i4>
      </vt:variant>
      <vt:variant>
        <vt:i4>1149</vt:i4>
      </vt:variant>
      <vt:variant>
        <vt:i4>0</vt:i4>
      </vt:variant>
      <vt:variant>
        <vt:i4>5</vt:i4>
      </vt:variant>
      <vt:variant>
        <vt:lpwstr/>
      </vt:variant>
      <vt:variant>
        <vt:lpwstr>_7.1_Superannuation_-</vt:lpwstr>
      </vt:variant>
      <vt:variant>
        <vt:i4>8126564</vt:i4>
      </vt:variant>
      <vt:variant>
        <vt:i4>1146</vt:i4>
      </vt:variant>
      <vt:variant>
        <vt:i4>0</vt:i4>
      </vt:variant>
      <vt:variant>
        <vt:i4>5</vt:i4>
      </vt:variant>
      <vt:variant>
        <vt:lpwstr/>
      </vt:variant>
      <vt:variant>
        <vt:lpwstr>_Other_Disclosures</vt:lpwstr>
      </vt:variant>
      <vt:variant>
        <vt:i4>5373996</vt:i4>
      </vt:variant>
      <vt:variant>
        <vt:i4>1143</vt:i4>
      </vt:variant>
      <vt:variant>
        <vt:i4>0</vt:i4>
      </vt:variant>
      <vt:variant>
        <vt:i4>5</vt:i4>
      </vt:variant>
      <vt:variant>
        <vt:lpwstr/>
      </vt:variant>
      <vt:variant>
        <vt:lpwstr>_6.3_Contingent_assets</vt:lpwstr>
      </vt:variant>
      <vt:variant>
        <vt:i4>4194343</vt:i4>
      </vt:variant>
      <vt:variant>
        <vt:i4>1140</vt:i4>
      </vt:variant>
      <vt:variant>
        <vt:i4>0</vt:i4>
      </vt:variant>
      <vt:variant>
        <vt:i4>5</vt:i4>
      </vt:variant>
      <vt:variant>
        <vt:lpwstr/>
      </vt:variant>
      <vt:variant>
        <vt:lpwstr>_6.2_Fair_value</vt:lpwstr>
      </vt:variant>
      <vt:variant>
        <vt:i4>8126469</vt:i4>
      </vt:variant>
      <vt:variant>
        <vt:i4>1137</vt:i4>
      </vt:variant>
      <vt:variant>
        <vt:i4>0</vt:i4>
      </vt:variant>
      <vt:variant>
        <vt:i4>5</vt:i4>
      </vt:variant>
      <vt:variant>
        <vt:lpwstr/>
      </vt:variant>
      <vt:variant>
        <vt:lpwstr>_6.1_Financial_instruments</vt:lpwstr>
      </vt:variant>
      <vt:variant>
        <vt:i4>2752570</vt:i4>
      </vt:variant>
      <vt:variant>
        <vt:i4>1134</vt:i4>
      </vt:variant>
      <vt:variant>
        <vt:i4>0</vt:i4>
      </vt:variant>
      <vt:variant>
        <vt:i4>5</vt:i4>
      </vt:variant>
      <vt:variant>
        <vt:lpwstr/>
      </vt:variant>
      <vt:variant>
        <vt:lpwstr>_Risk_management</vt:lpwstr>
      </vt:variant>
      <vt:variant>
        <vt:i4>1114185</vt:i4>
      </vt:variant>
      <vt:variant>
        <vt:i4>1131</vt:i4>
      </vt:variant>
      <vt:variant>
        <vt:i4>0</vt:i4>
      </vt:variant>
      <vt:variant>
        <vt:i4>5</vt:i4>
      </vt:variant>
      <vt:variant>
        <vt:lpwstr/>
      </vt:variant>
      <vt:variant>
        <vt:lpwstr>_5.3_Commitments</vt:lpwstr>
      </vt:variant>
      <vt:variant>
        <vt:i4>5439534</vt:i4>
      </vt:variant>
      <vt:variant>
        <vt:i4>1128</vt:i4>
      </vt:variant>
      <vt:variant>
        <vt:i4>0</vt:i4>
      </vt:variant>
      <vt:variant>
        <vt:i4>5</vt:i4>
      </vt:variant>
      <vt:variant>
        <vt:lpwstr/>
      </vt:variant>
      <vt:variant>
        <vt:lpwstr>_5.2_Cash_flow</vt:lpwstr>
      </vt:variant>
      <vt:variant>
        <vt:i4>4063326</vt:i4>
      </vt:variant>
      <vt:variant>
        <vt:i4>1125</vt:i4>
      </vt:variant>
      <vt:variant>
        <vt:i4>0</vt:i4>
      </vt:variant>
      <vt:variant>
        <vt:i4>5</vt:i4>
      </vt:variant>
      <vt:variant>
        <vt:lpwstr/>
      </vt:variant>
      <vt:variant>
        <vt:lpwstr>_5.1_Interest_bearing</vt:lpwstr>
      </vt:variant>
      <vt:variant>
        <vt:i4>1638454</vt:i4>
      </vt:variant>
      <vt:variant>
        <vt:i4>1122</vt:i4>
      </vt:variant>
      <vt:variant>
        <vt:i4>0</vt:i4>
      </vt:variant>
      <vt:variant>
        <vt:i4>5</vt:i4>
      </vt:variant>
      <vt:variant>
        <vt:lpwstr/>
      </vt:variant>
      <vt:variant>
        <vt:lpwstr>_Financing_Our_Operations</vt:lpwstr>
      </vt:variant>
      <vt:variant>
        <vt:i4>131119</vt:i4>
      </vt:variant>
      <vt:variant>
        <vt:i4>1119</vt:i4>
      </vt:variant>
      <vt:variant>
        <vt:i4>0</vt:i4>
      </vt:variant>
      <vt:variant>
        <vt:i4>5</vt:i4>
      </vt:variant>
      <vt:variant>
        <vt:lpwstr/>
      </vt:variant>
      <vt:variant>
        <vt:lpwstr>_4.3_Non-financial_assets</vt:lpwstr>
      </vt:variant>
      <vt:variant>
        <vt:i4>4849703</vt:i4>
      </vt:variant>
      <vt:variant>
        <vt:i4>1116</vt:i4>
      </vt:variant>
      <vt:variant>
        <vt:i4>0</vt:i4>
      </vt:variant>
      <vt:variant>
        <vt:i4>5</vt:i4>
      </vt:variant>
      <vt:variant>
        <vt:lpwstr/>
      </vt:variant>
      <vt:variant>
        <vt:lpwstr>_4.2_Intangible_assets</vt:lpwstr>
      </vt:variant>
      <vt:variant>
        <vt:i4>5832803</vt:i4>
      </vt:variant>
      <vt:variant>
        <vt:i4>1113</vt:i4>
      </vt:variant>
      <vt:variant>
        <vt:i4>0</vt:i4>
      </vt:variant>
      <vt:variant>
        <vt:i4>5</vt:i4>
      </vt:variant>
      <vt:variant>
        <vt:lpwstr/>
      </vt:variant>
      <vt:variant>
        <vt:lpwstr>_4.1_Land,_buildings,</vt:lpwstr>
      </vt:variant>
      <vt:variant>
        <vt:i4>1769509</vt:i4>
      </vt:variant>
      <vt:variant>
        <vt:i4>1110</vt:i4>
      </vt:variant>
      <vt:variant>
        <vt:i4>0</vt:i4>
      </vt:variant>
      <vt:variant>
        <vt:i4>5</vt:i4>
      </vt:variant>
      <vt:variant>
        <vt:lpwstr/>
      </vt:variant>
      <vt:variant>
        <vt:lpwstr>_Assets_Available_to</vt:lpwstr>
      </vt:variant>
      <vt:variant>
        <vt:i4>3538993</vt:i4>
      </vt:variant>
      <vt:variant>
        <vt:i4>1107</vt:i4>
      </vt:variant>
      <vt:variant>
        <vt:i4>0</vt:i4>
      </vt:variant>
      <vt:variant>
        <vt:i4>5</vt:i4>
      </vt:variant>
      <vt:variant>
        <vt:lpwstr/>
      </vt:variant>
      <vt:variant>
        <vt:lpwstr>_3.11_Provisions</vt:lpwstr>
      </vt:variant>
      <vt:variant>
        <vt:i4>7995456</vt:i4>
      </vt:variant>
      <vt:variant>
        <vt:i4>1104</vt:i4>
      </vt:variant>
      <vt:variant>
        <vt:i4>0</vt:i4>
      </vt:variant>
      <vt:variant>
        <vt:i4>5</vt:i4>
      </vt:variant>
      <vt:variant>
        <vt:lpwstr/>
      </vt:variant>
      <vt:variant>
        <vt:lpwstr>_3.10_Other_current</vt:lpwstr>
      </vt:variant>
      <vt:variant>
        <vt:i4>8323081</vt:i4>
      </vt:variant>
      <vt:variant>
        <vt:i4>1101</vt:i4>
      </vt:variant>
      <vt:variant>
        <vt:i4>0</vt:i4>
      </vt:variant>
      <vt:variant>
        <vt:i4>5</vt:i4>
      </vt:variant>
      <vt:variant>
        <vt:lpwstr/>
      </vt:variant>
      <vt:variant>
        <vt:lpwstr>_3.9_Trade_and</vt:lpwstr>
      </vt:variant>
      <vt:variant>
        <vt:i4>6094891</vt:i4>
      </vt:variant>
      <vt:variant>
        <vt:i4>1098</vt:i4>
      </vt:variant>
      <vt:variant>
        <vt:i4>0</vt:i4>
      </vt:variant>
      <vt:variant>
        <vt:i4>5</vt:i4>
      </vt:variant>
      <vt:variant>
        <vt:lpwstr/>
      </vt:variant>
      <vt:variant>
        <vt:lpwstr>_3.8_Income_and</vt:lpwstr>
      </vt:variant>
      <vt:variant>
        <vt:i4>7274510</vt:i4>
      </vt:variant>
      <vt:variant>
        <vt:i4>1095</vt:i4>
      </vt:variant>
      <vt:variant>
        <vt:i4>0</vt:i4>
      </vt:variant>
      <vt:variant>
        <vt:i4>5</vt:i4>
      </vt:variant>
      <vt:variant>
        <vt:lpwstr/>
      </vt:variant>
      <vt:variant>
        <vt:lpwstr>_3.7_Other_expenses</vt:lpwstr>
      </vt:variant>
      <vt:variant>
        <vt:i4>1245295</vt:i4>
      </vt:variant>
      <vt:variant>
        <vt:i4>1092</vt:i4>
      </vt:variant>
      <vt:variant>
        <vt:i4>0</vt:i4>
      </vt:variant>
      <vt:variant>
        <vt:i4>5</vt:i4>
      </vt:variant>
      <vt:variant>
        <vt:lpwstr/>
      </vt:variant>
      <vt:variant>
        <vt:lpwstr>_3.6_Asset_transfers</vt:lpwstr>
      </vt:variant>
      <vt:variant>
        <vt:i4>3997789</vt:i4>
      </vt:variant>
      <vt:variant>
        <vt:i4>1089</vt:i4>
      </vt:variant>
      <vt:variant>
        <vt:i4>0</vt:i4>
      </vt:variant>
      <vt:variant>
        <vt:i4>5</vt:i4>
      </vt:variant>
      <vt:variant>
        <vt:lpwstr/>
      </vt:variant>
      <vt:variant>
        <vt:lpwstr>_3.5_Government_rates</vt:lpwstr>
      </vt:variant>
      <vt:variant>
        <vt:i4>2359373</vt:i4>
      </vt:variant>
      <vt:variant>
        <vt:i4>1086</vt:i4>
      </vt:variant>
      <vt:variant>
        <vt:i4>0</vt:i4>
      </vt:variant>
      <vt:variant>
        <vt:i4>5</vt:i4>
      </vt:variant>
      <vt:variant>
        <vt:lpwstr/>
      </vt:variant>
      <vt:variant>
        <vt:lpwstr>_3.4_Administrative_expenses</vt:lpwstr>
      </vt:variant>
      <vt:variant>
        <vt:i4>1900649</vt:i4>
      </vt:variant>
      <vt:variant>
        <vt:i4>1083</vt:i4>
      </vt:variant>
      <vt:variant>
        <vt:i4>0</vt:i4>
      </vt:variant>
      <vt:variant>
        <vt:i4>5</vt:i4>
      </vt:variant>
      <vt:variant>
        <vt:lpwstr/>
      </vt:variant>
      <vt:variant>
        <vt:lpwstr>_3.3_Repairs_and</vt:lpwstr>
      </vt:variant>
      <vt:variant>
        <vt:i4>5963821</vt:i4>
      </vt:variant>
      <vt:variant>
        <vt:i4>1080</vt:i4>
      </vt:variant>
      <vt:variant>
        <vt:i4>0</vt:i4>
      </vt:variant>
      <vt:variant>
        <vt:i4>5</vt:i4>
      </vt:variant>
      <vt:variant>
        <vt:lpwstr/>
      </vt:variant>
      <vt:variant>
        <vt:lpwstr>_3.2_Employee_benefits</vt:lpwstr>
      </vt:variant>
      <vt:variant>
        <vt:i4>1835111</vt:i4>
      </vt:variant>
      <vt:variant>
        <vt:i4>1077</vt:i4>
      </vt:variant>
      <vt:variant>
        <vt:i4>0</vt:i4>
      </vt:variant>
      <vt:variant>
        <vt:i4>5</vt:i4>
      </vt:variant>
      <vt:variant>
        <vt:lpwstr/>
      </vt:variant>
      <vt:variant>
        <vt:lpwstr>_3.1_Operational_expenses</vt:lpwstr>
      </vt:variant>
      <vt:variant>
        <vt:i4>3670044</vt:i4>
      </vt:variant>
      <vt:variant>
        <vt:i4>1074</vt:i4>
      </vt:variant>
      <vt:variant>
        <vt:i4>0</vt:i4>
      </vt:variant>
      <vt:variant>
        <vt:i4>5</vt:i4>
      </vt:variant>
      <vt:variant>
        <vt:lpwstr/>
      </vt:variant>
      <vt:variant>
        <vt:lpwstr>_The_Cost_of</vt:lpwstr>
      </vt:variant>
      <vt:variant>
        <vt:i4>458847</vt:i4>
      </vt:variant>
      <vt:variant>
        <vt:i4>1071</vt:i4>
      </vt:variant>
      <vt:variant>
        <vt:i4>0</vt:i4>
      </vt:variant>
      <vt:variant>
        <vt:i4>5</vt:i4>
      </vt:variant>
      <vt:variant>
        <vt:lpwstr/>
      </vt:variant>
      <vt:variant>
        <vt:lpwstr>_2.3_Receivables</vt:lpwstr>
      </vt:variant>
      <vt:variant>
        <vt:i4>1179745</vt:i4>
      </vt:variant>
      <vt:variant>
        <vt:i4>1068</vt:i4>
      </vt:variant>
      <vt:variant>
        <vt:i4>0</vt:i4>
      </vt:variant>
      <vt:variant>
        <vt:i4>5</vt:i4>
      </vt:variant>
      <vt:variant>
        <vt:lpwstr/>
      </vt:variant>
      <vt:variant>
        <vt:lpwstr>_2.2_Other_Income</vt:lpwstr>
      </vt:variant>
      <vt:variant>
        <vt:i4>786523</vt:i4>
      </vt:variant>
      <vt:variant>
        <vt:i4>1065</vt:i4>
      </vt:variant>
      <vt:variant>
        <vt:i4>0</vt:i4>
      </vt:variant>
      <vt:variant>
        <vt:i4>5</vt:i4>
      </vt:variant>
      <vt:variant>
        <vt:lpwstr/>
      </vt:variant>
      <vt:variant>
        <vt:lpwstr>_2.1_Revenue</vt:lpwstr>
      </vt:variant>
      <vt:variant>
        <vt:i4>3342336</vt:i4>
      </vt:variant>
      <vt:variant>
        <vt:i4>1062</vt:i4>
      </vt:variant>
      <vt:variant>
        <vt:i4>0</vt:i4>
      </vt:variant>
      <vt:variant>
        <vt:i4>5</vt:i4>
      </vt:variant>
      <vt:variant>
        <vt:lpwstr/>
      </vt:variant>
      <vt:variant>
        <vt:lpwstr>_Funding_Delivery_of</vt:lpwstr>
      </vt:variant>
      <vt:variant>
        <vt:i4>4587644</vt:i4>
      </vt:variant>
      <vt:variant>
        <vt:i4>1059</vt:i4>
      </vt:variant>
      <vt:variant>
        <vt:i4>0</vt:i4>
      </vt:variant>
      <vt:variant>
        <vt:i4>5</vt:i4>
      </vt:variant>
      <vt:variant>
        <vt:lpwstr/>
      </vt:variant>
      <vt:variant>
        <vt:lpwstr>_About_this_Report</vt:lpwstr>
      </vt:variant>
      <vt:variant>
        <vt:i4>7012463</vt:i4>
      </vt:variant>
      <vt:variant>
        <vt:i4>1026</vt:i4>
      </vt:variant>
      <vt:variant>
        <vt:i4>0</vt:i4>
      </vt:variant>
      <vt:variant>
        <vt:i4>5</vt:i4>
      </vt:variant>
      <vt:variant>
        <vt:lpwstr/>
      </vt:variant>
      <vt:variant>
        <vt:lpwstr>CaseStudyDeliveringExceptional</vt:lpwstr>
      </vt:variant>
      <vt:variant>
        <vt:i4>5505104</vt:i4>
      </vt:variant>
      <vt:variant>
        <vt:i4>1020</vt:i4>
      </vt:variant>
      <vt:variant>
        <vt:i4>0</vt:i4>
      </vt:variant>
      <vt:variant>
        <vt:i4>5</vt:i4>
      </vt:variant>
      <vt:variant>
        <vt:lpwstr>https://www.melbournewater.com.au/media/372/download</vt:lpwstr>
      </vt:variant>
      <vt:variant>
        <vt:lpwstr/>
      </vt:variant>
      <vt:variant>
        <vt:i4>5505104</vt:i4>
      </vt:variant>
      <vt:variant>
        <vt:i4>1017</vt:i4>
      </vt:variant>
      <vt:variant>
        <vt:i4>0</vt:i4>
      </vt:variant>
      <vt:variant>
        <vt:i4>5</vt:i4>
      </vt:variant>
      <vt:variant>
        <vt:lpwstr>https://www.melbournewater.com.au/media/372/download</vt:lpwstr>
      </vt:variant>
      <vt:variant>
        <vt:lpwstr/>
      </vt:variant>
      <vt:variant>
        <vt:i4>1507346</vt:i4>
      </vt:variant>
      <vt:variant>
        <vt:i4>1014</vt:i4>
      </vt:variant>
      <vt:variant>
        <vt:i4>0</vt:i4>
      </vt:variant>
      <vt:variant>
        <vt:i4>5</vt:i4>
      </vt:variant>
      <vt:variant>
        <vt:lpwstr/>
      </vt:variant>
      <vt:variant>
        <vt:lpwstr>CaseStudyReshapingTraditionalGenderRoles</vt:lpwstr>
      </vt:variant>
      <vt:variant>
        <vt:i4>5505109</vt:i4>
      </vt:variant>
      <vt:variant>
        <vt:i4>1002</vt:i4>
      </vt:variant>
      <vt:variant>
        <vt:i4>0</vt:i4>
      </vt:variant>
      <vt:variant>
        <vt:i4>5</vt:i4>
      </vt:variant>
      <vt:variant>
        <vt:lpwstr>https://www.melbournewater.com.au/media/377/download</vt:lpwstr>
      </vt:variant>
      <vt:variant>
        <vt:lpwstr/>
      </vt:variant>
      <vt:variant>
        <vt:i4>5505109</vt:i4>
      </vt:variant>
      <vt:variant>
        <vt:i4>999</vt:i4>
      </vt:variant>
      <vt:variant>
        <vt:i4>0</vt:i4>
      </vt:variant>
      <vt:variant>
        <vt:i4>5</vt:i4>
      </vt:variant>
      <vt:variant>
        <vt:lpwstr>https://www.melbournewater.com.au/media/377/download</vt:lpwstr>
      </vt:variant>
      <vt:variant>
        <vt:lpwstr/>
      </vt:variant>
      <vt:variant>
        <vt:i4>7143533</vt:i4>
      </vt:variant>
      <vt:variant>
        <vt:i4>996</vt:i4>
      </vt:variant>
      <vt:variant>
        <vt:i4>0</vt:i4>
      </vt:variant>
      <vt:variant>
        <vt:i4>5</vt:i4>
      </vt:variant>
      <vt:variant>
        <vt:lpwstr/>
      </vt:variant>
      <vt:variant>
        <vt:lpwstr>CaseStudyWateringBolinBolin</vt:lpwstr>
      </vt:variant>
      <vt:variant>
        <vt:i4>5308431</vt:i4>
      </vt:variant>
      <vt:variant>
        <vt:i4>993</vt:i4>
      </vt:variant>
      <vt:variant>
        <vt:i4>0</vt:i4>
      </vt:variant>
      <vt:variant>
        <vt:i4>5</vt:i4>
      </vt:variant>
      <vt:variant>
        <vt:lpwstr>https://www.melbournewater.com.au/media/1801/download</vt:lpwstr>
      </vt:variant>
      <vt:variant>
        <vt:lpwstr/>
      </vt:variant>
      <vt:variant>
        <vt:i4>5505109</vt:i4>
      </vt:variant>
      <vt:variant>
        <vt:i4>990</vt:i4>
      </vt:variant>
      <vt:variant>
        <vt:i4>0</vt:i4>
      </vt:variant>
      <vt:variant>
        <vt:i4>5</vt:i4>
      </vt:variant>
      <vt:variant>
        <vt:lpwstr>https://www.melbournewater.com.au/media/377/download</vt:lpwstr>
      </vt:variant>
      <vt:variant>
        <vt:lpwstr/>
      </vt:variant>
      <vt:variant>
        <vt:i4>7340153</vt:i4>
      </vt:variant>
      <vt:variant>
        <vt:i4>987</vt:i4>
      </vt:variant>
      <vt:variant>
        <vt:i4>0</vt:i4>
      </vt:variant>
      <vt:variant>
        <vt:i4>5</vt:i4>
      </vt:variant>
      <vt:variant>
        <vt:lpwstr/>
      </vt:variant>
      <vt:variant>
        <vt:lpwstr>CaseStudyWaterlutioninAustralia</vt:lpwstr>
      </vt:variant>
      <vt:variant>
        <vt:i4>7012463</vt:i4>
      </vt:variant>
      <vt:variant>
        <vt:i4>984</vt:i4>
      </vt:variant>
      <vt:variant>
        <vt:i4>0</vt:i4>
      </vt:variant>
      <vt:variant>
        <vt:i4>5</vt:i4>
      </vt:variant>
      <vt:variant>
        <vt:lpwstr/>
      </vt:variant>
      <vt:variant>
        <vt:lpwstr>CaseStudyDeliveringExceptional</vt:lpwstr>
      </vt:variant>
      <vt:variant>
        <vt:i4>5308431</vt:i4>
      </vt:variant>
      <vt:variant>
        <vt:i4>978</vt:i4>
      </vt:variant>
      <vt:variant>
        <vt:i4>0</vt:i4>
      </vt:variant>
      <vt:variant>
        <vt:i4>5</vt:i4>
      </vt:variant>
      <vt:variant>
        <vt:lpwstr>https://www.melbournewater.com.au/media/1801/download</vt:lpwstr>
      </vt:variant>
      <vt:variant>
        <vt:lpwstr/>
      </vt:variant>
      <vt:variant>
        <vt:i4>7012450</vt:i4>
      </vt:variant>
      <vt:variant>
        <vt:i4>975</vt:i4>
      </vt:variant>
      <vt:variant>
        <vt:i4>0</vt:i4>
      </vt:variant>
      <vt:variant>
        <vt:i4>5</vt:i4>
      </vt:variant>
      <vt:variant>
        <vt:lpwstr/>
      </vt:variant>
      <vt:variant>
        <vt:lpwstr>_Enhancing_Biodiversity</vt:lpwstr>
      </vt:variant>
      <vt:variant>
        <vt:i4>5308431</vt:i4>
      </vt:variant>
      <vt:variant>
        <vt:i4>969</vt:i4>
      </vt:variant>
      <vt:variant>
        <vt:i4>0</vt:i4>
      </vt:variant>
      <vt:variant>
        <vt:i4>5</vt:i4>
      </vt:variant>
      <vt:variant>
        <vt:lpwstr>https://www.melbournewater.com.au/media/1801/download</vt:lpwstr>
      </vt:variant>
      <vt:variant>
        <vt:lpwstr/>
      </vt:variant>
      <vt:variant>
        <vt:i4>5308431</vt:i4>
      </vt:variant>
      <vt:variant>
        <vt:i4>963</vt:i4>
      </vt:variant>
      <vt:variant>
        <vt:i4>0</vt:i4>
      </vt:variant>
      <vt:variant>
        <vt:i4>5</vt:i4>
      </vt:variant>
      <vt:variant>
        <vt:lpwstr>https://www.melbournewater.com.au/media/1801/download</vt:lpwstr>
      </vt:variant>
      <vt:variant>
        <vt:lpwstr/>
      </vt:variant>
      <vt:variant>
        <vt:i4>5308431</vt:i4>
      </vt:variant>
      <vt:variant>
        <vt:i4>960</vt:i4>
      </vt:variant>
      <vt:variant>
        <vt:i4>0</vt:i4>
      </vt:variant>
      <vt:variant>
        <vt:i4>5</vt:i4>
      </vt:variant>
      <vt:variant>
        <vt:lpwstr>https://www.melbournewater.com.au/media/1801/download</vt:lpwstr>
      </vt:variant>
      <vt:variant>
        <vt:lpwstr/>
      </vt:variant>
      <vt:variant>
        <vt:i4>5636111</vt:i4>
      </vt:variant>
      <vt:variant>
        <vt:i4>957</vt:i4>
      </vt:variant>
      <vt:variant>
        <vt:i4>0</vt:i4>
      </vt:variant>
      <vt:variant>
        <vt:i4>5</vt:i4>
      </vt:variant>
      <vt:variant>
        <vt:lpwstr>https://www.melbournewater.com.au/media/2836/download</vt:lpwstr>
      </vt:variant>
      <vt:variant>
        <vt:lpwstr/>
      </vt:variant>
      <vt:variant>
        <vt:i4>6422655</vt:i4>
      </vt:variant>
      <vt:variant>
        <vt:i4>954</vt:i4>
      </vt:variant>
      <vt:variant>
        <vt:i4>0</vt:i4>
      </vt:variant>
      <vt:variant>
        <vt:i4>5</vt:i4>
      </vt:variant>
      <vt:variant>
        <vt:lpwstr/>
      </vt:variant>
      <vt:variant>
        <vt:lpwstr>CaseStudyOurSpaceYourPlace</vt:lpwstr>
      </vt:variant>
      <vt:variant>
        <vt:i4>7602284</vt:i4>
      </vt:variant>
      <vt:variant>
        <vt:i4>948</vt:i4>
      </vt:variant>
      <vt:variant>
        <vt:i4>0</vt:i4>
      </vt:variant>
      <vt:variant>
        <vt:i4>5</vt:i4>
      </vt:variant>
      <vt:variant>
        <vt:lpwstr/>
      </vt:variant>
      <vt:variant>
        <vt:lpwstr>CaseStudyTenYearsofLivingRivers</vt:lpwstr>
      </vt:variant>
      <vt:variant>
        <vt:i4>524317</vt:i4>
      </vt:variant>
      <vt:variant>
        <vt:i4>945</vt:i4>
      </vt:variant>
      <vt:variant>
        <vt:i4>0</vt:i4>
      </vt:variant>
      <vt:variant>
        <vt:i4>5</vt:i4>
      </vt:variant>
      <vt:variant>
        <vt:lpwstr/>
      </vt:variant>
      <vt:variant>
        <vt:lpwstr>CaseStudyHealthyWaterwaysStrategy</vt:lpwstr>
      </vt:variant>
      <vt:variant>
        <vt:i4>7143533</vt:i4>
      </vt:variant>
      <vt:variant>
        <vt:i4>942</vt:i4>
      </vt:variant>
      <vt:variant>
        <vt:i4>0</vt:i4>
      </vt:variant>
      <vt:variant>
        <vt:i4>5</vt:i4>
      </vt:variant>
      <vt:variant>
        <vt:lpwstr/>
      </vt:variant>
      <vt:variant>
        <vt:lpwstr>CaseStudyWateringBolinBolin</vt:lpwstr>
      </vt:variant>
      <vt:variant>
        <vt:i4>3014702</vt:i4>
      </vt:variant>
      <vt:variant>
        <vt:i4>933</vt:i4>
      </vt:variant>
      <vt:variant>
        <vt:i4>0</vt:i4>
      </vt:variant>
      <vt:variant>
        <vt:i4>5</vt:i4>
      </vt:variant>
      <vt:variant>
        <vt:lpwstr/>
      </vt:variant>
      <vt:variant>
        <vt:lpwstr>Launching50yrCommunity</vt:lpwstr>
      </vt:variant>
      <vt:variant>
        <vt:i4>5636111</vt:i4>
      </vt:variant>
      <vt:variant>
        <vt:i4>918</vt:i4>
      </vt:variant>
      <vt:variant>
        <vt:i4>0</vt:i4>
      </vt:variant>
      <vt:variant>
        <vt:i4>5</vt:i4>
      </vt:variant>
      <vt:variant>
        <vt:lpwstr>https://www.melbournewater.com.au/media/2836/download</vt:lpwstr>
      </vt:variant>
      <vt:variant>
        <vt:lpwstr/>
      </vt:variant>
      <vt:variant>
        <vt:i4>5898250</vt:i4>
      </vt:variant>
      <vt:variant>
        <vt:i4>903</vt:i4>
      </vt:variant>
      <vt:variant>
        <vt:i4>0</vt:i4>
      </vt:variant>
      <vt:variant>
        <vt:i4>5</vt:i4>
      </vt:variant>
      <vt:variant>
        <vt:lpwstr>https://www.melbournewater.com.au/media/3371/download</vt:lpwstr>
      </vt:variant>
      <vt:variant>
        <vt:lpwstr/>
      </vt:variant>
      <vt:variant>
        <vt:i4>5898250</vt:i4>
      </vt:variant>
      <vt:variant>
        <vt:i4>900</vt:i4>
      </vt:variant>
      <vt:variant>
        <vt:i4>0</vt:i4>
      </vt:variant>
      <vt:variant>
        <vt:i4>5</vt:i4>
      </vt:variant>
      <vt:variant>
        <vt:lpwstr>https://www.melbournewater.com.au/media/3371/download</vt:lpwstr>
      </vt:variant>
      <vt:variant>
        <vt:lpwstr/>
      </vt:variant>
      <vt:variant>
        <vt:i4>3080221</vt:i4>
      </vt:variant>
      <vt:variant>
        <vt:i4>840</vt:i4>
      </vt:variant>
      <vt:variant>
        <vt:i4>0</vt:i4>
      </vt:variant>
      <vt:variant>
        <vt:i4>5</vt:i4>
      </vt:variant>
      <vt:variant>
        <vt:lpwstr/>
      </vt:variant>
      <vt:variant>
        <vt:lpwstr>_Healthy_Places_–</vt:lpwstr>
      </vt:variant>
      <vt:variant>
        <vt:i4>3080221</vt:i4>
      </vt:variant>
      <vt:variant>
        <vt:i4>729</vt:i4>
      </vt:variant>
      <vt:variant>
        <vt:i4>0</vt:i4>
      </vt:variant>
      <vt:variant>
        <vt:i4>5</vt:i4>
      </vt:variant>
      <vt:variant>
        <vt:lpwstr/>
      </vt:variant>
      <vt:variant>
        <vt:lpwstr>_Healthy_Places_–</vt:lpwstr>
      </vt:variant>
      <vt:variant>
        <vt:i4>5505109</vt:i4>
      </vt:variant>
      <vt:variant>
        <vt:i4>552</vt:i4>
      </vt:variant>
      <vt:variant>
        <vt:i4>0</vt:i4>
      </vt:variant>
      <vt:variant>
        <vt:i4>5</vt:i4>
      </vt:variant>
      <vt:variant>
        <vt:lpwstr>https://www.melbournewater.com.au/media/377/download</vt:lpwstr>
      </vt:variant>
      <vt:variant>
        <vt:lpwstr/>
      </vt:variant>
      <vt:variant>
        <vt:i4>5636111</vt:i4>
      </vt:variant>
      <vt:variant>
        <vt:i4>546</vt:i4>
      </vt:variant>
      <vt:variant>
        <vt:i4>0</vt:i4>
      </vt:variant>
      <vt:variant>
        <vt:i4>5</vt:i4>
      </vt:variant>
      <vt:variant>
        <vt:lpwstr>https://www.melbournewater.com.au/media/2836/download</vt:lpwstr>
      </vt:variant>
      <vt:variant>
        <vt:lpwstr/>
      </vt:variant>
      <vt:variant>
        <vt:i4>5636111</vt:i4>
      </vt:variant>
      <vt:variant>
        <vt:i4>543</vt:i4>
      </vt:variant>
      <vt:variant>
        <vt:i4>0</vt:i4>
      </vt:variant>
      <vt:variant>
        <vt:i4>5</vt:i4>
      </vt:variant>
      <vt:variant>
        <vt:lpwstr>https://www.melbournewater.com.au/media/2836/download</vt:lpwstr>
      </vt:variant>
      <vt:variant>
        <vt:lpwstr/>
      </vt:variant>
      <vt:variant>
        <vt:i4>1966134</vt:i4>
      </vt:variant>
      <vt:variant>
        <vt:i4>536</vt:i4>
      </vt:variant>
      <vt:variant>
        <vt:i4>0</vt:i4>
      </vt:variant>
      <vt:variant>
        <vt:i4>5</vt:i4>
      </vt:variant>
      <vt:variant>
        <vt:lpwstr/>
      </vt:variant>
      <vt:variant>
        <vt:lpwstr>_Toc526926743</vt:lpwstr>
      </vt:variant>
      <vt:variant>
        <vt:i4>1966134</vt:i4>
      </vt:variant>
      <vt:variant>
        <vt:i4>530</vt:i4>
      </vt:variant>
      <vt:variant>
        <vt:i4>0</vt:i4>
      </vt:variant>
      <vt:variant>
        <vt:i4>5</vt:i4>
      </vt:variant>
      <vt:variant>
        <vt:lpwstr/>
      </vt:variant>
      <vt:variant>
        <vt:lpwstr>_Toc526926742</vt:lpwstr>
      </vt:variant>
      <vt:variant>
        <vt:i4>1966134</vt:i4>
      </vt:variant>
      <vt:variant>
        <vt:i4>524</vt:i4>
      </vt:variant>
      <vt:variant>
        <vt:i4>0</vt:i4>
      </vt:variant>
      <vt:variant>
        <vt:i4>5</vt:i4>
      </vt:variant>
      <vt:variant>
        <vt:lpwstr/>
      </vt:variant>
      <vt:variant>
        <vt:lpwstr>_Toc526926741</vt:lpwstr>
      </vt:variant>
      <vt:variant>
        <vt:i4>1966134</vt:i4>
      </vt:variant>
      <vt:variant>
        <vt:i4>518</vt:i4>
      </vt:variant>
      <vt:variant>
        <vt:i4>0</vt:i4>
      </vt:variant>
      <vt:variant>
        <vt:i4>5</vt:i4>
      </vt:variant>
      <vt:variant>
        <vt:lpwstr/>
      </vt:variant>
      <vt:variant>
        <vt:lpwstr>_Toc526926740</vt:lpwstr>
      </vt:variant>
      <vt:variant>
        <vt:i4>1638454</vt:i4>
      </vt:variant>
      <vt:variant>
        <vt:i4>512</vt:i4>
      </vt:variant>
      <vt:variant>
        <vt:i4>0</vt:i4>
      </vt:variant>
      <vt:variant>
        <vt:i4>5</vt:i4>
      </vt:variant>
      <vt:variant>
        <vt:lpwstr/>
      </vt:variant>
      <vt:variant>
        <vt:lpwstr>_Toc526926739</vt:lpwstr>
      </vt:variant>
      <vt:variant>
        <vt:i4>1638454</vt:i4>
      </vt:variant>
      <vt:variant>
        <vt:i4>506</vt:i4>
      </vt:variant>
      <vt:variant>
        <vt:i4>0</vt:i4>
      </vt:variant>
      <vt:variant>
        <vt:i4>5</vt:i4>
      </vt:variant>
      <vt:variant>
        <vt:lpwstr/>
      </vt:variant>
      <vt:variant>
        <vt:lpwstr>_Toc526926738</vt:lpwstr>
      </vt:variant>
      <vt:variant>
        <vt:i4>1638454</vt:i4>
      </vt:variant>
      <vt:variant>
        <vt:i4>500</vt:i4>
      </vt:variant>
      <vt:variant>
        <vt:i4>0</vt:i4>
      </vt:variant>
      <vt:variant>
        <vt:i4>5</vt:i4>
      </vt:variant>
      <vt:variant>
        <vt:lpwstr/>
      </vt:variant>
      <vt:variant>
        <vt:lpwstr>_Toc526926737</vt:lpwstr>
      </vt:variant>
      <vt:variant>
        <vt:i4>1638454</vt:i4>
      </vt:variant>
      <vt:variant>
        <vt:i4>494</vt:i4>
      </vt:variant>
      <vt:variant>
        <vt:i4>0</vt:i4>
      </vt:variant>
      <vt:variant>
        <vt:i4>5</vt:i4>
      </vt:variant>
      <vt:variant>
        <vt:lpwstr/>
      </vt:variant>
      <vt:variant>
        <vt:lpwstr>_Toc526926736</vt:lpwstr>
      </vt:variant>
      <vt:variant>
        <vt:i4>1638454</vt:i4>
      </vt:variant>
      <vt:variant>
        <vt:i4>488</vt:i4>
      </vt:variant>
      <vt:variant>
        <vt:i4>0</vt:i4>
      </vt:variant>
      <vt:variant>
        <vt:i4>5</vt:i4>
      </vt:variant>
      <vt:variant>
        <vt:lpwstr/>
      </vt:variant>
      <vt:variant>
        <vt:lpwstr>_Toc526926735</vt:lpwstr>
      </vt:variant>
      <vt:variant>
        <vt:i4>1638454</vt:i4>
      </vt:variant>
      <vt:variant>
        <vt:i4>482</vt:i4>
      </vt:variant>
      <vt:variant>
        <vt:i4>0</vt:i4>
      </vt:variant>
      <vt:variant>
        <vt:i4>5</vt:i4>
      </vt:variant>
      <vt:variant>
        <vt:lpwstr/>
      </vt:variant>
      <vt:variant>
        <vt:lpwstr>_Toc526926734</vt:lpwstr>
      </vt:variant>
      <vt:variant>
        <vt:i4>1638454</vt:i4>
      </vt:variant>
      <vt:variant>
        <vt:i4>476</vt:i4>
      </vt:variant>
      <vt:variant>
        <vt:i4>0</vt:i4>
      </vt:variant>
      <vt:variant>
        <vt:i4>5</vt:i4>
      </vt:variant>
      <vt:variant>
        <vt:lpwstr/>
      </vt:variant>
      <vt:variant>
        <vt:lpwstr>_Toc526926733</vt:lpwstr>
      </vt:variant>
      <vt:variant>
        <vt:i4>1638454</vt:i4>
      </vt:variant>
      <vt:variant>
        <vt:i4>470</vt:i4>
      </vt:variant>
      <vt:variant>
        <vt:i4>0</vt:i4>
      </vt:variant>
      <vt:variant>
        <vt:i4>5</vt:i4>
      </vt:variant>
      <vt:variant>
        <vt:lpwstr/>
      </vt:variant>
      <vt:variant>
        <vt:lpwstr>_Toc526926732</vt:lpwstr>
      </vt:variant>
      <vt:variant>
        <vt:i4>1638454</vt:i4>
      </vt:variant>
      <vt:variant>
        <vt:i4>464</vt:i4>
      </vt:variant>
      <vt:variant>
        <vt:i4>0</vt:i4>
      </vt:variant>
      <vt:variant>
        <vt:i4>5</vt:i4>
      </vt:variant>
      <vt:variant>
        <vt:lpwstr/>
      </vt:variant>
      <vt:variant>
        <vt:lpwstr>_Toc526926731</vt:lpwstr>
      </vt:variant>
      <vt:variant>
        <vt:i4>1638454</vt:i4>
      </vt:variant>
      <vt:variant>
        <vt:i4>458</vt:i4>
      </vt:variant>
      <vt:variant>
        <vt:i4>0</vt:i4>
      </vt:variant>
      <vt:variant>
        <vt:i4>5</vt:i4>
      </vt:variant>
      <vt:variant>
        <vt:lpwstr/>
      </vt:variant>
      <vt:variant>
        <vt:lpwstr>_Toc526926730</vt:lpwstr>
      </vt:variant>
      <vt:variant>
        <vt:i4>1572918</vt:i4>
      </vt:variant>
      <vt:variant>
        <vt:i4>452</vt:i4>
      </vt:variant>
      <vt:variant>
        <vt:i4>0</vt:i4>
      </vt:variant>
      <vt:variant>
        <vt:i4>5</vt:i4>
      </vt:variant>
      <vt:variant>
        <vt:lpwstr/>
      </vt:variant>
      <vt:variant>
        <vt:lpwstr>_Toc526926729</vt:lpwstr>
      </vt:variant>
      <vt:variant>
        <vt:i4>1572918</vt:i4>
      </vt:variant>
      <vt:variant>
        <vt:i4>446</vt:i4>
      </vt:variant>
      <vt:variant>
        <vt:i4>0</vt:i4>
      </vt:variant>
      <vt:variant>
        <vt:i4>5</vt:i4>
      </vt:variant>
      <vt:variant>
        <vt:lpwstr/>
      </vt:variant>
      <vt:variant>
        <vt:lpwstr>_Toc526926728</vt:lpwstr>
      </vt:variant>
      <vt:variant>
        <vt:i4>1572918</vt:i4>
      </vt:variant>
      <vt:variant>
        <vt:i4>440</vt:i4>
      </vt:variant>
      <vt:variant>
        <vt:i4>0</vt:i4>
      </vt:variant>
      <vt:variant>
        <vt:i4>5</vt:i4>
      </vt:variant>
      <vt:variant>
        <vt:lpwstr/>
      </vt:variant>
      <vt:variant>
        <vt:lpwstr>_Toc526926727</vt:lpwstr>
      </vt:variant>
      <vt:variant>
        <vt:i4>1572918</vt:i4>
      </vt:variant>
      <vt:variant>
        <vt:i4>434</vt:i4>
      </vt:variant>
      <vt:variant>
        <vt:i4>0</vt:i4>
      </vt:variant>
      <vt:variant>
        <vt:i4>5</vt:i4>
      </vt:variant>
      <vt:variant>
        <vt:lpwstr/>
      </vt:variant>
      <vt:variant>
        <vt:lpwstr>_Toc526926726</vt:lpwstr>
      </vt:variant>
      <vt:variant>
        <vt:i4>1572918</vt:i4>
      </vt:variant>
      <vt:variant>
        <vt:i4>428</vt:i4>
      </vt:variant>
      <vt:variant>
        <vt:i4>0</vt:i4>
      </vt:variant>
      <vt:variant>
        <vt:i4>5</vt:i4>
      </vt:variant>
      <vt:variant>
        <vt:lpwstr/>
      </vt:variant>
      <vt:variant>
        <vt:lpwstr>_Toc526926725</vt:lpwstr>
      </vt:variant>
      <vt:variant>
        <vt:i4>1572918</vt:i4>
      </vt:variant>
      <vt:variant>
        <vt:i4>422</vt:i4>
      </vt:variant>
      <vt:variant>
        <vt:i4>0</vt:i4>
      </vt:variant>
      <vt:variant>
        <vt:i4>5</vt:i4>
      </vt:variant>
      <vt:variant>
        <vt:lpwstr/>
      </vt:variant>
      <vt:variant>
        <vt:lpwstr>_Toc526926724</vt:lpwstr>
      </vt:variant>
      <vt:variant>
        <vt:i4>1572918</vt:i4>
      </vt:variant>
      <vt:variant>
        <vt:i4>416</vt:i4>
      </vt:variant>
      <vt:variant>
        <vt:i4>0</vt:i4>
      </vt:variant>
      <vt:variant>
        <vt:i4>5</vt:i4>
      </vt:variant>
      <vt:variant>
        <vt:lpwstr/>
      </vt:variant>
      <vt:variant>
        <vt:lpwstr>_Toc526926723</vt:lpwstr>
      </vt:variant>
      <vt:variant>
        <vt:i4>1572918</vt:i4>
      </vt:variant>
      <vt:variant>
        <vt:i4>410</vt:i4>
      </vt:variant>
      <vt:variant>
        <vt:i4>0</vt:i4>
      </vt:variant>
      <vt:variant>
        <vt:i4>5</vt:i4>
      </vt:variant>
      <vt:variant>
        <vt:lpwstr/>
      </vt:variant>
      <vt:variant>
        <vt:lpwstr>_Toc526926722</vt:lpwstr>
      </vt:variant>
      <vt:variant>
        <vt:i4>1572918</vt:i4>
      </vt:variant>
      <vt:variant>
        <vt:i4>404</vt:i4>
      </vt:variant>
      <vt:variant>
        <vt:i4>0</vt:i4>
      </vt:variant>
      <vt:variant>
        <vt:i4>5</vt:i4>
      </vt:variant>
      <vt:variant>
        <vt:lpwstr/>
      </vt:variant>
      <vt:variant>
        <vt:lpwstr>_Toc526926721</vt:lpwstr>
      </vt:variant>
      <vt:variant>
        <vt:i4>1572918</vt:i4>
      </vt:variant>
      <vt:variant>
        <vt:i4>398</vt:i4>
      </vt:variant>
      <vt:variant>
        <vt:i4>0</vt:i4>
      </vt:variant>
      <vt:variant>
        <vt:i4>5</vt:i4>
      </vt:variant>
      <vt:variant>
        <vt:lpwstr/>
      </vt:variant>
      <vt:variant>
        <vt:lpwstr>_Toc526926720</vt:lpwstr>
      </vt:variant>
      <vt:variant>
        <vt:i4>1769526</vt:i4>
      </vt:variant>
      <vt:variant>
        <vt:i4>392</vt:i4>
      </vt:variant>
      <vt:variant>
        <vt:i4>0</vt:i4>
      </vt:variant>
      <vt:variant>
        <vt:i4>5</vt:i4>
      </vt:variant>
      <vt:variant>
        <vt:lpwstr/>
      </vt:variant>
      <vt:variant>
        <vt:lpwstr>_Toc526926719</vt:lpwstr>
      </vt:variant>
      <vt:variant>
        <vt:i4>1769526</vt:i4>
      </vt:variant>
      <vt:variant>
        <vt:i4>386</vt:i4>
      </vt:variant>
      <vt:variant>
        <vt:i4>0</vt:i4>
      </vt:variant>
      <vt:variant>
        <vt:i4>5</vt:i4>
      </vt:variant>
      <vt:variant>
        <vt:lpwstr/>
      </vt:variant>
      <vt:variant>
        <vt:lpwstr>_Toc526926718</vt:lpwstr>
      </vt:variant>
      <vt:variant>
        <vt:i4>1769526</vt:i4>
      </vt:variant>
      <vt:variant>
        <vt:i4>380</vt:i4>
      </vt:variant>
      <vt:variant>
        <vt:i4>0</vt:i4>
      </vt:variant>
      <vt:variant>
        <vt:i4>5</vt:i4>
      </vt:variant>
      <vt:variant>
        <vt:lpwstr/>
      </vt:variant>
      <vt:variant>
        <vt:lpwstr>_Toc526926717</vt:lpwstr>
      </vt:variant>
      <vt:variant>
        <vt:i4>1769526</vt:i4>
      </vt:variant>
      <vt:variant>
        <vt:i4>374</vt:i4>
      </vt:variant>
      <vt:variant>
        <vt:i4>0</vt:i4>
      </vt:variant>
      <vt:variant>
        <vt:i4>5</vt:i4>
      </vt:variant>
      <vt:variant>
        <vt:lpwstr/>
      </vt:variant>
      <vt:variant>
        <vt:lpwstr>_Toc526926716</vt:lpwstr>
      </vt:variant>
      <vt:variant>
        <vt:i4>1769526</vt:i4>
      </vt:variant>
      <vt:variant>
        <vt:i4>368</vt:i4>
      </vt:variant>
      <vt:variant>
        <vt:i4>0</vt:i4>
      </vt:variant>
      <vt:variant>
        <vt:i4>5</vt:i4>
      </vt:variant>
      <vt:variant>
        <vt:lpwstr/>
      </vt:variant>
      <vt:variant>
        <vt:lpwstr>_Toc526926715</vt:lpwstr>
      </vt:variant>
      <vt:variant>
        <vt:i4>1769526</vt:i4>
      </vt:variant>
      <vt:variant>
        <vt:i4>362</vt:i4>
      </vt:variant>
      <vt:variant>
        <vt:i4>0</vt:i4>
      </vt:variant>
      <vt:variant>
        <vt:i4>5</vt:i4>
      </vt:variant>
      <vt:variant>
        <vt:lpwstr/>
      </vt:variant>
      <vt:variant>
        <vt:lpwstr>_Toc526926714</vt:lpwstr>
      </vt:variant>
      <vt:variant>
        <vt:i4>1769526</vt:i4>
      </vt:variant>
      <vt:variant>
        <vt:i4>356</vt:i4>
      </vt:variant>
      <vt:variant>
        <vt:i4>0</vt:i4>
      </vt:variant>
      <vt:variant>
        <vt:i4>5</vt:i4>
      </vt:variant>
      <vt:variant>
        <vt:lpwstr/>
      </vt:variant>
      <vt:variant>
        <vt:lpwstr>_Toc526926713</vt:lpwstr>
      </vt:variant>
      <vt:variant>
        <vt:i4>1769526</vt:i4>
      </vt:variant>
      <vt:variant>
        <vt:i4>350</vt:i4>
      </vt:variant>
      <vt:variant>
        <vt:i4>0</vt:i4>
      </vt:variant>
      <vt:variant>
        <vt:i4>5</vt:i4>
      </vt:variant>
      <vt:variant>
        <vt:lpwstr/>
      </vt:variant>
      <vt:variant>
        <vt:lpwstr>_Toc526926712</vt:lpwstr>
      </vt:variant>
      <vt:variant>
        <vt:i4>1769526</vt:i4>
      </vt:variant>
      <vt:variant>
        <vt:i4>344</vt:i4>
      </vt:variant>
      <vt:variant>
        <vt:i4>0</vt:i4>
      </vt:variant>
      <vt:variant>
        <vt:i4>5</vt:i4>
      </vt:variant>
      <vt:variant>
        <vt:lpwstr/>
      </vt:variant>
      <vt:variant>
        <vt:lpwstr>_Toc526926711</vt:lpwstr>
      </vt:variant>
      <vt:variant>
        <vt:i4>1769526</vt:i4>
      </vt:variant>
      <vt:variant>
        <vt:i4>338</vt:i4>
      </vt:variant>
      <vt:variant>
        <vt:i4>0</vt:i4>
      </vt:variant>
      <vt:variant>
        <vt:i4>5</vt:i4>
      </vt:variant>
      <vt:variant>
        <vt:lpwstr/>
      </vt:variant>
      <vt:variant>
        <vt:lpwstr>_Toc526926710</vt:lpwstr>
      </vt:variant>
      <vt:variant>
        <vt:i4>1703990</vt:i4>
      </vt:variant>
      <vt:variant>
        <vt:i4>332</vt:i4>
      </vt:variant>
      <vt:variant>
        <vt:i4>0</vt:i4>
      </vt:variant>
      <vt:variant>
        <vt:i4>5</vt:i4>
      </vt:variant>
      <vt:variant>
        <vt:lpwstr/>
      </vt:variant>
      <vt:variant>
        <vt:lpwstr>_Toc526926709</vt:lpwstr>
      </vt:variant>
      <vt:variant>
        <vt:i4>1703990</vt:i4>
      </vt:variant>
      <vt:variant>
        <vt:i4>326</vt:i4>
      </vt:variant>
      <vt:variant>
        <vt:i4>0</vt:i4>
      </vt:variant>
      <vt:variant>
        <vt:i4>5</vt:i4>
      </vt:variant>
      <vt:variant>
        <vt:lpwstr/>
      </vt:variant>
      <vt:variant>
        <vt:lpwstr>_Toc526926708</vt:lpwstr>
      </vt:variant>
      <vt:variant>
        <vt:i4>1703990</vt:i4>
      </vt:variant>
      <vt:variant>
        <vt:i4>320</vt:i4>
      </vt:variant>
      <vt:variant>
        <vt:i4>0</vt:i4>
      </vt:variant>
      <vt:variant>
        <vt:i4>5</vt:i4>
      </vt:variant>
      <vt:variant>
        <vt:lpwstr/>
      </vt:variant>
      <vt:variant>
        <vt:lpwstr>_Toc526926707</vt:lpwstr>
      </vt:variant>
      <vt:variant>
        <vt:i4>1703990</vt:i4>
      </vt:variant>
      <vt:variant>
        <vt:i4>314</vt:i4>
      </vt:variant>
      <vt:variant>
        <vt:i4>0</vt:i4>
      </vt:variant>
      <vt:variant>
        <vt:i4>5</vt:i4>
      </vt:variant>
      <vt:variant>
        <vt:lpwstr/>
      </vt:variant>
      <vt:variant>
        <vt:lpwstr>_Toc526926706</vt:lpwstr>
      </vt:variant>
      <vt:variant>
        <vt:i4>1703990</vt:i4>
      </vt:variant>
      <vt:variant>
        <vt:i4>308</vt:i4>
      </vt:variant>
      <vt:variant>
        <vt:i4>0</vt:i4>
      </vt:variant>
      <vt:variant>
        <vt:i4>5</vt:i4>
      </vt:variant>
      <vt:variant>
        <vt:lpwstr/>
      </vt:variant>
      <vt:variant>
        <vt:lpwstr>_Toc526926705</vt:lpwstr>
      </vt:variant>
      <vt:variant>
        <vt:i4>1703990</vt:i4>
      </vt:variant>
      <vt:variant>
        <vt:i4>302</vt:i4>
      </vt:variant>
      <vt:variant>
        <vt:i4>0</vt:i4>
      </vt:variant>
      <vt:variant>
        <vt:i4>5</vt:i4>
      </vt:variant>
      <vt:variant>
        <vt:lpwstr/>
      </vt:variant>
      <vt:variant>
        <vt:lpwstr>_Toc526926704</vt:lpwstr>
      </vt:variant>
      <vt:variant>
        <vt:i4>1703990</vt:i4>
      </vt:variant>
      <vt:variant>
        <vt:i4>296</vt:i4>
      </vt:variant>
      <vt:variant>
        <vt:i4>0</vt:i4>
      </vt:variant>
      <vt:variant>
        <vt:i4>5</vt:i4>
      </vt:variant>
      <vt:variant>
        <vt:lpwstr/>
      </vt:variant>
      <vt:variant>
        <vt:lpwstr>_Toc526926703</vt:lpwstr>
      </vt:variant>
      <vt:variant>
        <vt:i4>1703990</vt:i4>
      </vt:variant>
      <vt:variant>
        <vt:i4>290</vt:i4>
      </vt:variant>
      <vt:variant>
        <vt:i4>0</vt:i4>
      </vt:variant>
      <vt:variant>
        <vt:i4>5</vt:i4>
      </vt:variant>
      <vt:variant>
        <vt:lpwstr/>
      </vt:variant>
      <vt:variant>
        <vt:lpwstr>_Toc526926702</vt:lpwstr>
      </vt:variant>
      <vt:variant>
        <vt:i4>1703990</vt:i4>
      </vt:variant>
      <vt:variant>
        <vt:i4>284</vt:i4>
      </vt:variant>
      <vt:variant>
        <vt:i4>0</vt:i4>
      </vt:variant>
      <vt:variant>
        <vt:i4>5</vt:i4>
      </vt:variant>
      <vt:variant>
        <vt:lpwstr/>
      </vt:variant>
      <vt:variant>
        <vt:lpwstr>_Toc526926701</vt:lpwstr>
      </vt:variant>
      <vt:variant>
        <vt:i4>1703990</vt:i4>
      </vt:variant>
      <vt:variant>
        <vt:i4>278</vt:i4>
      </vt:variant>
      <vt:variant>
        <vt:i4>0</vt:i4>
      </vt:variant>
      <vt:variant>
        <vt:i4>5</vt:i4>
      </vt:variant>
      <vt:variant>
        <vt:lpwstr/>
      </vt:variant>
      <vt:variant>
        <vt:lpwstr>_Toc526926700</vt:lpwstr>
      </vt:variant>
      <vt:variant>
        <vt:i4>1245239</vt:i4>
      </vt:variant>
      <vt:variant>
        <vt:i4>272</vt:i4>
      </vt:variant>
      <vt:variant>
        <vt:i4>0</vt:i4>
      </vt:variant>
      <vt:variant>
        <vt:i4>5</vt:i4>
      </vt:variant>
      <vt:variant>
        <vt:lpwstr/>
      </vt:variant>
      <vt:variant>
        <vt:lpwstr>_Toc526926699</vt:lpwstr>
      </vt:variant>
      <vt:variant>
        <vt:i4>1245239</vt:i4>
      </vt:variant>
      <vt:variant>
        <vt:i4>266</vt:i4>
      </vt:variant>
      <vt:variant>
        <vt:i4>0</vt:i4>
      </vt:variant>
      <vt:variant>
        <vt:i4>5</vt:i4>
      </vt:variant>
      <vt:variant>
        <vt:lpwstr/>
      </vt:variant>
      <vt:variant>
        <vt:lpwstr>_Toc526926698</vt:lpwstr>
      </vt:variant>
      <vt:variant>
        <vt:i4>1245239</vt:i4>
      </vt:variant>
      <vt:variant>
        <vt:i4>260</vt:i4>
      </vt:variant>
      <vt:variant>
        <vt:i4>0</vt:i4>
      </vt:variant>
      <vt:variant>
        <vt:i4>5</vt:i4>
      </vt:variant>
      <vt:variant>
        <vt:lpwstr/>
      </vt:variant>
      <vt:variant>
        <vt:lpwstr>_Toc526926697</vt:lpwstr>
      </vt:variant>
      <vt:variant>
        <vt:i4>1245239</vt:i4>
      </vt:variant>
      <vt:variant>
        <vt:i4>254</vt:i4>
      </vt:variant>
      <vt:variant>
        <vt:i4>0</vt:i4>
      </vt:variant>
      <vt:variant>
        <vt:i4>5</vt:i4>
      </vt:variant>
      <vt:variant>
        <vt:lpwstr/>
      </vt:variant>
      <vt:variant>
        <vt:lpwstr>_Toc526926696</vt:lpwstr>
      </vt:variant>
      <vt:variant>
        <vt:i4>1245239</vt:i4>
      </vt:variant>
      <vt:variant>
        <vt:i4>248</vt:i4>
      </vt:variant>
      <vt:variant>
        <vt:i4>0</vt:i4>
      </vt:variant>
      <vt:variant>
        <vt:i4>5</vt:i4>
      </vt:variant>
      <vt:variant>
        <vt:lpwstr/>
      </vt:variant>
      <vt:variant>
        <vt:lpwstr>_Toc526926695</vt:lpwstr>
      </vt:variant>
      <vt:variant>
        <vt:i4>1245239</vt:i4>
      </vt:variant>
      <vt:variant>
        <vt:i4>242</vt:i4>
      </vt:variant>
      <vt:variant>
        <vt:i4>0</vt:i4>
      </vt:variant>
      <vt:variant>
        <vt:i4>5</vt:i4>
      </vt:variant>
      <vt:variant>
        <vt:lpwstr/>
      </vt:variant>
      <vt:variant>
        <vt:lpwstr>_Toc526926694</vt:lpwstr>
      </vt:variant>
      <vt:variant>
        <vt:i4>1245239</vt:i4>
      </vt:variant>
      <vt:variant>
        <vt:i4>236</vt:i4>
      </vt:variant>
      <vt:variant>
        <vt:i4>0</vt:i4>
      </vt:variant>
      <vt:variant>
        <vt:i4>5</vt:i4>
      </vt:variant>
      <vt:variant>
        <vt:lpwstr/>
      </vt:variant>
      <vt:variant>
        <vt:lpwstr>_Toc526926693</vt:lpwstr>
      </vt:variant>
      <vt:variant>
        <vt:i4>1245239</vt:i4>
      </vt:variant>
      <vt:variant>
        <vt:i4>230</vt:i4>
      </vt:variant>
      <vt:variant>
        <vt:i4>0</vt:i4>
      </vt:variant>
      <vt:variant>
        <vt:i4>5</vt:i4>
      </vt:variant>
      <vt:variant>
        <vt:lpwstr/>
      </vt:variant>
      <vt:variant>
        <vt:lpwstr>_Toc526926692</vt:lpwstr>
      </vt:variant>
      <vt:variant>
        <vt:i4>1245239</vt:i4>
      </vt:variant>
      <vt:variant>
        <vt:i4>224</vt:i4>
      </vt:variant>
      <vt:variant>
        <vt:i4>0</vt:i4>
      </vt:variant>
      <vt:variant>
        <vt:i4>5</vt:i4>
      </vt:variant>
      <vt:variant>
        <vt:lpwstr/>
      </vt:variant>
      <vt:variant>
        <vt:lpwstr>_Toc526926691</vt:lpwstr>
      </vt:variant>
      <vt:variant>
        <vt:i4>1245239</vt:i4>
      </vt:variant>
      <vt:variant>
        <vt:i4>218</vt:i4>
      </vt:variant>
      <vt:variant>
        <vt:i4>0</vt:i4>
      </vt:variant>
      <vt:variant>
        <vt:i4>5</vt:i4>
      </vt:variant>
      <vt:variant>
        <vt:lpwstr/>
      </vt:variant>
      <vt:variant>
        <vt:lpwstr>_Toc526926690</vt:lpwstr>
      </vt:variant>
      <vt:variant>
        <vt:i4>1179703</vt:i4>
      </vt:variant>
      <vt:variant>
        <vt:i4>212</vt:i4>
      </vt:variant>
      <vt:variant>
        <vt:i4>0</vt:i4>
      </vt:variant>
      <vt:variant>
        <vt:i4>5</vt:i4>
      </vt:variant>
      <vt:variant>
        <vt:lpwstr/>
      </vt:variant>
      <vt:variant>
        <vt:lpwstr>_Toc526926689</vt:lpwstr>
      </vt:variant>
      <vt:variant>
        <vt:i4>1179703</vt:i4>
      </vt:variant>
      <vt:variant>
        <vt:i4>206</vt:i4>
      </vt:variant>
      <vt:variant>
        <vt:i4>0</vt:i4>
      </vt:variant>
      <vt:variant>
        <vt:i4>5</vt:i4>
      </vt:variant>
      <vt:variant>
        <vt:lpwstr/>
      </vt:variant>
      <vt:variant>
        <vt:lpwstr>_Toc526926688</vt:lpwstr>
      </vt:variant>
      <vt:variant>
        <vt:i4>1179703</vt:i4>
      </vt:variant>
      <vt:variant>
        <vt:i4>200</vt:i4>
      </vt:variant>
      <vt:variant>
        <vt:i4>0</vt:i4>
      </vt:variant>
      <vt:variant>
        <vt:i4>5</vt:i4>
      </vt:variant>
      <vt:variant>
        <vt:lpwstr/>
      </vt:variant>
      <vt:variant>
        <vt:lpwstr>_Toc526926687</vt:lpwstr>
      </vt:variant>
      <vt:variant>
        <vt:i4>1179703</vt:i4>
      </vt:variant>
      <vt:variant>
        <vt:i4>194</vt:i4>
      </vt:variant>
      <vt:variant>
        <vt:i4>0</vt:i4>
      </vt:variant>
      <vt:variant>
        <vt:i4>5</vt:i4>
      </vt:variant>
      <vt:variant>
        <vt:lpwstr/>
      </vt:variant>
      <vt:variant>
        <vt:lpwstr>_Toc526926686</vt:lpwstr>
      </vt:variant>
      <vt:variant>
        <vt:i4>1179703</vt:i4>
      </vt:variant>
      <vt:variant>
        <vt:i4>188</vt:i4>
      </vt:variant>
      <vt:variant>
        <vt:i4>0</vt:i4>
      </vt:variant>
      <vt:variant>
        <vt:i4>5</vt:i4>
      </vt:variant>
      <vt:variant>
        <vt:lpwstr/>
      </vt:variant>
      <vt:variant>
        <vt:lpwstr>_Toc526926685</vt:lpwstr>
      </vt:variant>
      <vt:variant>
        <vt:i4>1179703</vt:i4>
      </vt:variant>
      <vt:variant>
        <vt:i4>182</vt:i4>
      </vt:variant>
      <vt:variant>
        <vt:i4>0</vt:i4>
      </vt:variant>
      <vt:variant>
        <vt:i4>5</vt:i4>
      </vt:variant>
      <vt:variant>
        <vt:lpwstr/>
      </vt:variant>
      <vt:variant>
        <vt:lpwstr>_Toc526926684</vt:lpwstr>
      </vt:variant>
      <vt:variant>
        <vt:i4>1179703</vt:i4>
      </vt:variant>
      <vt:variant>
        <vt:i4>176</vt:i4>
      </vt:variant>
      <vt:variant>
        <vt:i4>0</vt:i4>
      </vt:variant>
      <vt:variant>
        <vt:i4>5</vt:i4>
      </vt:variant>
      <vt:variant>
        <vt:lpwstr/>
      </vt:variant>
      <vt:variant>
        <vt:lpwstr>_Toc526926683</vt:lpwstr>
      </vt:variant>
      <vt:variant>
        <vt:i4>1179703</vt:i4>
      </vt:variant>
      <vt:variant>
        <vt:i4>170</vt:i4>
      </vt:variant>
      <vt:variant>
        <vt:i4>0</vt:i4>
      </vt:variant>
      <vt:variant>
        <vt:i4>5</vt:i4>
      </vt:variant>
      <vt:variant>
        <vt:lpwstr/>
      </vt:variant>
      <vt:variant>
        <vt:lpwstr>_Toc526926682</vt:lpwstr>
      </vt:variant>
      <vt:variant>
        <vt:i4>1179703</vt:i4>
      </vt:variant>
      <vt:variant>
        <vt:i4>164</vt:i4>
      </vt:variant>
      <vt:variant>
        <vt:i4>0</vt:i4>
      </vt:variant>
      <vt:variant>
        <vt:i4>5</vt:i4>
      </vt:variant>
      <vt:variant>
        <vt:lpwstr/>
      </vt:variant>
      <vt:variant>
        <vt:lpwstr>_Toc526926681</vt:lpwstr>
      </vt:variant>
      <vt:variant>
        <vt:i4>1179703</vt:i4>
      </vt:variant>
      <vt:variant>
        <vt:i4>158</vt:i4>
      </vt:variant>
      <vt:variant>
        <vt:i4>0</vt:i4>
      </vt:variant>
      <vt:variant>
        <vt:i4>5</vt:i4>
      </vt:variant>
      <vt:variant>
        <vt:lpwstr/>
      </vt:variant>
      <vt:variant>
        <vt:lpwstr>_Toc526926680</vt:lpwstr>
      </vt:variant>
      <vt:variant>
        <vt:i4>1900599</vt:i4>
      </vt:variant>
      <vt:variant>
        <vt:i4>152</vt:i4>
      </vt:variant>
      <vt:variant>
        <vt:i4>0</vt:i4>
      </vt:variant>
      <vt:variant>
        <vt:i4>5</vt:i4>
      </vt:variant>
      <vt:variant>
        <vt:lpwstr/>
      </vt:variant>
      <vt:variant>
        <vt:lpwstr>_Toc526926679</vt:lpwstr>
      </vt:variant>
      <vt:variant>
        <vt:i4>1900599</vt:i4>
      </vt:variant>
      <vt:variant>
        <vt:i4>146</vt:i4>
      </vt:variant>
      <vt:variant>
        <vt:i4>0</vt:i4>
      </vt:variant>
      <vt:variant>
        <vt:i4>5</vt:i4>
      </vt:variant>
      <vt:variant>
        <vt:lpwstr/>
      </vt:variant>
      <vt:variant>
        <vt:lpwstr>_Toc526926678</vt:lpwstr>
      </vt:variant>
      <vt:variant>
        <vt:i4>1900599</vt:i4>
      </vt:variant>
      <vt:variant>
        <vt:i4>140</vt:i4>
      </vt:variant>
      <vt:variant>
        <vt:i4>0</vt:i4>
      </vt:variant>
      <vt:variant>
        <vt:i4>5</vt:i4>
      </vt:variant>
      <vt:variant>
        <vt:lpwstr/>
      </vt:variant>
      <vt:variant>
        <vt:lpwstr>_Toc526926677</vt:lpwstr>
      </vt:variant>
      <vt:variant>
        <vt:i4>1900599</vt:i4>
      </vt:variant>
      <vt:variant>
        <vt:i4>134</vt:i4>
      </vt:variant>
      <vt:variant>
        <vt:i4>0</vt:i4>
      </vt:variant>
      <vt:variant>
        <vt:i4>5</vt:i4>
      </vt:variant>
      <vt:variant>
        <vt:lpwstr/>
      </vt:variant>
      <vt:variant>
        <vt:lpwstr>_Toc526926676</vt:lpwstr>
      </vt:variant>
      <vt:variant>
        <vt:i4>1900599</vt:i4>
      </vt:variant>
      <vt:variant>
        <vt:i4>128</vt:i4>
      </vt:variant>
      <vt:variant>
        <vt:i4>0</vt:i4>
      </vt:variant>
      <vt:variant>
        <vt:i4>5</vt:i4>
      </vt:variant>
      <vt:variant>
        <vt:lpwstr/>
      </vt:variant>
      <vt:variant>
        <vt:lpwstr>_Toc526926675</vt:lpwstr>
      </vt:variant>
      <vt:variant>
        <vt:i4>1900599</vt:i4>
      </vt:variant>
      <vt:variant>
        <vt:i4>122</vt:i4>
      </vt:variant>
      <vt:variant>
        <vt:i4>0</vt:i4>
      </vt:variant>
      <vt:variant>
        <vt:i4>5</vt:i4>
      </vt:variant>
      <vt:variant>
        <vt:lpwstr/>
      </vt:variant>
      <vt:variant>
        <vt:lpwstr>_Toc526926674</vt:lpwstr>
      </vt:variant>
      <vt:variant>
        <vt:i4>1900599</vt:i4>
      </vt:variant>
      <vt:variant>
        <vt:i4>116</vt:i4>
      </vt:variant>
      <vt:variant>
        <vt:i4>0</vt:i4>
      </vt:variant>
      <vt:variant>
        <vt:i4>5</vt:i4>
      </vt:variant>
      <vt:variant>
        <vt:lpwstr/>
      </vt:variant>
      <vt:variant>
        <vt:lpwstr>_Toc526926673</vt:lpwstr>
      </vt:variant>
      <vt:variant>
        <vt:i4>1900599</vt:i4>
      </vt:variant>
      <vt:variant>
        <vt:i4>110</vt:i4>
      </vt:variant>
      <vt:variant>
        <vt:i4>0</vt:i4>
      </vt:variant>
      <vt:variant>
        <vt:i4>5</vt:i4>
      </vt:variant>
      <vt:variant>
        <vt:lpwstr/>
      </vt:variant>
      <vt:variant>
        <vt:lpwstr>_Toc526926672</vt:lpwstr>
      </vt:variant>
      <vt:variant>
        <vt:i4>1900599</vt:i4>
      </vt:variant>
      <vt:variant>
        <vt:i4>104</vt:i4>
      </vt:variant>
      <vt:variant>
        <vt:i4>0</vt:i4>
      </vt:variant>
      <vt:variant>
        <vt:i4>5</vt:i4>
      </vt:variant>
      <vt:variant>
        <vt:lpwstr/>
      </vt:variant>
      <vt:variant>
        <vt:lpwstr>_Toc526926671</vt:lpwstr>
      </vt:variant>
      <vt:variant>
        <vt:i4>1900599</vt:i4>
      </vt:variant>
      <vt:variant>
        <vt:i4>98</vt:i4>
      </vt:variant>
      <vt:variant>
        <vt:i4>0</vt:i4>
      </vt:variant>
      <vt:variant>
        <vt:i4>5</vt:i4>
      </vt:variant>
      <vt:variant>
        <vt:lpwstr/>
      </vt:variant>
      <vt:variant>
        <vt:lpwstr>_Toc526926670</vt:lpwstr>
      </vt:variant>
      <vt:variant>
        <vt:i4>1835063</vt:i4>
      </vt:variant>
      <vt:variant>
        <vt:i4>92</vt:i4>
      </vt:variant>
      <vt:variant>
        <vt:i4>0</vt:i4>
      </vt:variant>
      <vt:variant>
        <vt:i4>5</vt:i4>
      </vt:variant>
      <vt:variant>
        <vt:lpwstr/>
      </vt:variant>
      <vt:variant>
        <vt:lpwstr>_Toc526926669</vt:lpwstr>
      </vt:variant>
      <vt:variant>
        <vt:i4>1835063</vt:i4>
      </vt:variant>
      <vt:variant>
        <vt:i4>86</vt:i4>
      </vt:variant>
      <vt:variant>
        <vt:i4>0</vt:i4>
      </vt:variant>
      <vt:variant>
        <vt:i4>5</vt:i4>
      </vt:variant>
      <vt:variant>
        <vt:lpwstr/>
      </vt:variant>
      <vt:variant>
        <vt:lpwstr>_Toc526926668</vt:lpwstr>
      </vt:variant>
      <vt:variant>
        <vt:i4>1835063</vt:i4>
      </vt:variant>
      <vt:variant>
        <vt:i4>80</vt:i4>
      </vt:variant>
      <vt:variant>
        <vt:i4>0</vt:i4>
      </vt:variant>
      <vt:variant>
        <vt:i4>5</vt:i4>
      </vt:variant>
      <vt:variant>
        <vt:lpwstr/>
      </vt:variant>
      <vt:variant>
        <vt:lpwstr>_Toc526926667</vt:lpwstr>
      </vt:variant>
      <vt:variant>
        <vt:i4>1835063</vt:i4>
      </vt:variant>
      <vt:variant>
        <vt:i4>74</vt:i4>
      </vt:variant>
      <vt:variant>
        <vt:i4>0</vt:i4>
      </vt:variant>
      <vt:variant>
        <vt:i4>5</vt:i4>
      </vt:variant>
      <vt:variant>
        <vt:lpwstr/>
      </vt:variant>
      <vt:variant>
        <vt:lpwstr>_Toc526926666</vt:lpwstr>
      </vt:variant>
      <vt:variant>
        <vt:i4>1835063</vt:i4>
      </vt:variant>
      <vt:variant>
        <vt:i4>68</vt:i4>
      </vt:variant>
      <vt:variant>
        <vt:i4>0</vt:i4>
      </vt:variant>
      <vt:variant>
        <vt:i4>5</vt:i4>
      </vt:variant>
      <vt:variant>
        <vt:lpwstr/>
      </vt:variant>
      <vt:variant>
        <vt:lpwstr>_Toc526926665</vt:lpwstr>
      </vt:variant>
      <vt:variant>
        <vt:i4>1835063</vt:i4>
      </vt:variant>
      <vt:variant>
        <vt:i4>62</vt:i4>
      </vt:variant>
      <vt:variant>
        <vt:i4>0</vt:i4>
      </vt:variant>
      <vt:variant>
        <vt:i4>5</vt:i4>
      </vt:variant>
      <vt:variant>
        <vt:lpwstr/>
      </vt:variant>
      <vt:variant>
        <vt:lpwstr>_Toc526926664</vt:lpwstr>
      </vt:variant>
      <vt:variant>
        <vt:i4>1835063</vt:i4>
      </vt:variant>
      <vt:variant>
        <vt:i4>56</vt:i4>
      </vt:variant>
      <vt:variant>
        <vt:i4>0</vt:i4>
      </vt:variant>
      <vt:variant>
        <vt:i4>5</vt:i4>
      </vt:variant>
      <vt:variant>
        <vt:lpwstr/>
      </vt:variant>
      <vt:variant>
        <vt:lpwstr>_Toc526926663</vt:lpwstr>
      </vt:variant>
      <vt:variant>
        <vt:i4>1835063</vt:i4>
      </vt:variant>
      <vt:variant>
        <vt:i4>50</vt:i4>
      </vt:variant>
      <vt:variant>
        <vt:i4>0</vt:i4>
      </vt:variant>
      <vt:variant>
        <vt:i4>5</vt:i4>
      </vt:variant>
      <vt:variant>
        <vt:lpwstr/>
      </vt:variant>
      <vt:variant>
        <vt:lpwstr>_Toc526926662</vt:lpwstr>
      </vt:variant>
      <vt:variant>
        <vt:i4>1835063</vt:i4>
      </vt:variant>
      <vt:variant>
        <vt:i4>44</vt:i4>
      </vt:variant>
      <vt:variant>
        <vt:i4>0</vt:i4>
      </vt:variant>
      <vt:variant>
        <vt:i4>5</vt:i4>
      </vt:variant>
      <vt:variant>
        <vt:lpwstr/>
      </vt:variant>
      <vt:variant>
        <vt:lpwstr>_Toc526926661</vt:lpwstr>
      </vt:variant>
      <vt:variant>
        <vt:i4>1835063</vt:i4>
      </vt:variant>
      <vt:variant>
        <vt:i4>38</vt:i4>
      </vt:variant>
      <vt:variant>
        <vt:i4>0</vt:i4>
      </vt:variant>
      <vt:variant>
        <vt:i4>5</vt:i4>
      </vt:variant>
      <vt:variant>
        <vt:lpwstr/>
      </vt:variant>
      <vt:variant>
        <vt:lpwstr>_Toc526926660</vt:lpwstr>
      </vt:variant>
      <vt:variant>
        <vt:i4>2031671</vt:i4>
      </vt:variant>
      <vt:variant>
        <vt:i4>32</vt:i4>
      </vt:variant>
      <vt:variant>
        <vt:i4>0</vt:i4>
      </vt:variant>
      <vt:variant>
        <vt:i4>5</vt:i4>
      </vt:variant>
      <vt:variant>
        <vt:lpwstr/>
      </vt:variant>
      <vt:variant>
        <vt:lpwstr>_Toc526926659</vt:lpwstr>
      </vt:variant>
      <vt:variant>
        <vt:i4>2031671</vt:i4>
      </vt:variant>
      <vt:variant>
        <vt:i4>26</vt:i4>
      </vt:variant>
      <vt:variant>
        <vt:i4>0</vt:i4>
      </vt:variant>
      <vt:variant>
        <vt:i4>5</vt:i4>
      </vt:variant>
      <vt:variant>
        <vt:lpwstr/>
      </vt:variant>
      <vt:variant>
        <vt:lpwstr>_Toc526926658</vt:lpwstr>
      </vt:variant>
      <vt:variant>
        <vt:i4>2031671</vt:i4>
      </vt:variant>
      <vt:variant>
        <vt:i4>20</vt:i4>
      </vt:variant>
      <vt:variant>
        <vt:i4>0</vt:i4>
      </vt:variant>
      <vt:variant>
        <vt:i4>5</vt:i4>
      </vt:variant>
      <vt:variant>
        <vt:lpwstr/>
      </vt:variant>
      <vt:variant>
        <vt:lpwstr>_Toc526926657</vt:lpwstr>
      </vt:variant>
      <vt:variant>
        <vt:i4>2031671</vt:i4>
      </vt:variant>
      <vt:variant>
        <vt:i4>14</vt:i4>
      </vt:variant>
      <vt:variant>
        <vt:i4>0</vt:i4>
      </vt:variant>
      <vt:variant>
        <vt:i4>5</vt:i4>
      </vt:variant>
      <vt:variant>
        <vt:lpwstr/>
      </vt:variant>
      <vt:variant>
        <vt:lpwstr>_Toc526926656</vt:lpwstr>
      </vt:variant>
      <vt:variant>
        <vt:i4>2031671</vt:i4>
      </vt:variant>
      <vt:variant>
        <vt:i4>8</vt:i4>
      </vt:variant>
      <vt:variant>
        <vt:i4>0</vt:i4>
      </vt:variant>
      <vt:variant>
        <vt:i4>5</vt:i4>
      </vt:variant>
      <vt:variant>
        <vt:lpwstr/>
      </vt:variant>
      <vt:variant>
        <vt:lpwstr>_Toc526926655</vt:lpwstr>
      </vt:variant>
      <vt:variant>
        <vt:i4>65633</vt:i4>
      </vt:variant>
      <vt:variant>
        <vt:i4>3</vt:i4>
      </vt:variant>
      <vt:variant>
        <vt:i4>0</vt:i4>
      </vt:variant>
      <vt:variant>
        <vt:i4>5</vt:i4>
      </vt:variant>
      <vt:variant>
        <vt:lpwstr>mailto:enquiry@melbournewater.com.au</vt:lpwstr>
      </vt:variant>
      <vt:variant>
        <vt:lpwstr/>
      </vt:variant>
      <vt:variant>
        <vt:i4>4980818</vt:i4>
      </vt:variant>
      <vt:variant>
        <vt:i4>0</vt:i4>
      </vt:variant>
      <vt:variant>
        <vt:i4>0</vt:i4>
      </vt:variant>
      <vt:variant>
        <vt:i4>5</vt:i4>
      </vt:variant>
      <vt:variant>
        <vt:lpwstr>http://www.melbournewater.com.au/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Corporate Plan</dc:title>
  <dc:subject/>
  <dc:creator/>
  <cp:keywords/>
  <dc:description/>
  <cp:lastModifiedBy/>
  <cp:revision>1</cp:revision>
  <dcterms:created xsi:type="dcterms:W3CDTF">2023-08-29T11:48:00Z</dcterms:created>
  <dcterms:modified xsi:type="dcterms:W3CDTF">2023-10-09T06:27:00Z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0x01010091D62A8291AC574281C201B771815F2E</vt:lpwstr>
  </property>
  <property fmtid="{D5CDD505-2E9C-101B-9397-08002B2CF9AE}" pid="3" name="MediaServiceImageTags">
    <vt:lpwstr/>
  </property>
</Properties>
</file>